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header6.xml" ContentType="application/vnd.openxmlformats-officedocument.wordprocessingml.header+xml"/>
  <Override PartName="/word/media/image57.png" ContentType="image/png"/>
  <Override PartName="/word/media/image12.wmf" ContentType="image/x-wmf"/>
  <Override PartName="/word/media/image1.png" ContentType="image/png"/>
  <Override PartName="/word/media/image9.png" ContentType="image/png"/>
  <Override PartName="/word/media/image75.png" ContentType="image/png"/>
  <Override PartName="/word/media/image2.jpeg" ContentType="image/jpeg"/>
  <Override PartName="/word/media/image38.png" ContentType="image/png"/>
  <Override PartName="/word/media/image110.png" ContentType="image/png"/>
  <Override PartName="/word/media/image8.png" ContentType="image/png"/>
  <Override PartName="/word/media/image74.png" ContentType="image/png"/>
  <Override PartName="/word/media/image3.png" ContentType="image/png"/>
  <Override PartName="/word/media/image14.wmf" ContentType="image/x-wmf"/>
  <Override PartName="/word/media/image59.png" ContentType="image/png"/>
  <Override PartName="/word/media/image70.png" ContentType="image/png"/>
  <Override PartName="/word/media/image4.png" ContentType="image/png"/>
  <Override PartName="/word/media/image71.png" ContentType="image/png"/>
  <Override PartName="/word/media/image5.png" ContentType="image/png"/>
  <Override PartName="/word/media/image72.png" ContentType="image/png"/>
  <Override PartName="/word/media/image6.png" ContentType="image/png"/>
  <Override PartName="/word/media/image73.png" ContentType="image/png"/>
  <Override PartName="/word/media/image7.png" ContentType="image/png"/>
  <Override PartName="/word/media/image10.png" ContentType="image/png"/>
  <Override PartName="/word/media/image11.png" ContentType="image/png"/>
  <Override PartName="/word/media/image13.wmf" ContentType="image/x-wmf"/>
  <Override PartName="/word/media/image58.png" ContentType="image/png"/>
  <Override PartName="/word/media/image15.png" ContentType="image/png"/>
  <Override PartName="/word/media/image16.png" ContentType="image/png"/>
  <Override PartName="/word/media/image17.png" ContentType="image/png"/>
  <Override PartName="/word/media/image18.png" ContentType="image/png"/>
  <Override PartName="/word/media/image19.png" ContentType="image/png"/>
  <Override PartName="/word/media/image20.png" ContentType="image/png"/>
  <Override PartName="/word/media/image21.png" ContentType="image/png"/>
  <Override PartName="/word/media/image22.png" ContentType="image/png"/>
  <Override PartName="/word/media/image23.png" ContentType="image/png"/>
  <Override PartName="/word/media/image24.png" ContentType="image/png"/>
  <Override PartName="/word/media/image25.png" ContentType="image/png"/>
  <Override PartName="/word/media/image26.png" ContentType="image/png"/>
  <Override PartName="/word/media/image27.png" ContentType="image/png"/>
  <Override PartName="/word/media/image100.png" ContentType="image/png"/>
  <Override PartName="/word/media/image28.png" ContentType="image/png"/>
  <Override PartName="/word/media/image101.png" ContentType="image/png"/>
  <Override PartName="/word/media/image29.png" ContentType="image/png"/>
  <Override PartName="/word/media/image30.png" ContentType="image/png"/>
  <Override PartName="/word/media/image31.png" ContentType="image/png"/>
  <Override PartName="/word/media/image32.png" ContentType="image/png"/>
  <Override PartName="/word/media/image33.png" ContentType="image/png"/>
  <Override PartName="/word/media/image34.png" ContentType="image/png"/>
  <Override PartName="/word/media/image35.png" ContentType="image/png"/>
  <Override PartName="/word/media/image36.png" ContentType="image/png"/>
  <Override PartName="/word/media/image37.png" ContentType="image/png"/>
  <Override PartName="/word/media/image111.png" ContentType="image/png"/>
  <Override PartName="/word/media/image39.png" ContentType="image/png"/>
  <Override PartName="/word/media/image40.png" ContentType="image/png"/>
  <Override PartName="/word/media/image41.png" ContentType="image/png"/>
  <Override PartName="/word/media/image42.png" ContentType="image/png"/>
  <Override PartName="/word/media/image43.png" ContentType="image/png"/>
  <Override PartName="/word/media/image44.png" ContentType="image/png"/>
  <Override PartName="/word/media/image45.png" ContentType="image/png"/>
  <Override PartName="/word/media/image46.png" ContentType="image/png"/>
  <Override PartName="/word/media/image47.png" ContentType="image/png"/>
  <Override PartName="/word/media/image48.png" ContentType="image/png"/>
  <Override PartName="/word/media/image49.png" ContentType="image/png"/>
  <Override PartName="/word/media/image50.png" ContentType="image/png"/>
  <Override PartName="/word/media/image51.png" ContentType="image/png"/>
  <Override PartName="/word/media/image52.png" ContentType="image/png"/>
  <Override PartName="/word/media/image53.png" ContentType="image/png"/>
  <Override PartName="/word/media/image54.png" ContentType="image/png"/>
  <Override PartName="/word/media/image55.png" ContentType="image/png"/>
  <Override PartName="/word/media/image56.png" ContentType="image/png"/>
  <Override PartName="/word/media/image60.png" ContentType="image/png"/>
  <Override PartName="/word/media/image61.png" ContentType="image/png"/>
  <Override PartName="/word/media/image62.png" ContentType="image/png"/>
  <Override PartName="/word/media/image63.png" ContentType="image/png"/>
  <Override PartName="/word/media/image64.png" ContentType="image/png"/>
  <Override PartName="/word/media/image65.png" ContentType="image/png"/>
  <Override PartName="/word/media/image66.png" ContentType="image/png"/>
  <Override PartName="/word/media/image67.png" ContentType="image/png"/>
  <Override PartName="/word/media/image68.png" ContentType="image/png"/>
  <Override PartName="/word/media/image69.png" ContentType="image/png"/>
  <Override PartName="/word/media/image76.png" ContentType="image/png"/>
  <Override PartName="/word/media/image77.png" ContentType="image/png"/>
  <Override PartName="/word/media/image78.png" ContentType="image/png"/>
  <Override PartName="/word/media/image79.png" ContentType="image/png"/>
  <Override PartName="/word/media/image80.png" ContentType="image/png"/>
  <Override PartName="/word/media/image81.png" ContentType="image/png"/>
  <Override PartName="/word/media/image82.png" ContentType="image/png"/>
  <Override PartName="/word/media/image83.png" ContentType="image/png"/>
  <Override PartName="/word/media/image84.png" ContentType="image/png"/>
  <Override PartName="/word/media/image85.png" ContentType="image/png"/>
  <Override PartName="/word/media/image86.png" ContentType="image/png"/>
  <Override PartName="/word/media/image87.png" ContentType="image/png"/>
  <Override PartName="/word/media/image88.png" ContentType="image/png"/>
  <Override PartName="/word/media/image89.png" ContentType="image/png"/>
  <Override PartName="/word/media/image90.png" ContentType="image/png"/>
  <Override PartName="/word/media/image91.png" ContentType="image/png"/>
  <Override PartName="/word/media/image92.png" ContentType="image/png"/>
  <Override PartName="/word/media/image93.png" ContentType="image/png"/>
  <Override PartName="/word/media/image94.png" ContentType="image/png"/>
  <Override PartName="/word/media/image95.png" ContentType="image/png"/>
  <Override PartName="/word/media/image96.png" ContentType="image/png"/>
  <Override PartName="/word/media/image97.png" ContentType="image/png"/>
  <Override PartName="/word/media/image98.png" ContentType="image/png"/>
  <Override PartName="/word/media/image99.png" ContentType="image/png"/>
  <Override PartName="/word/media/image102.png" ContentType="image/png"/>
  <Override PartName="/word/media/image103.png" ContentType="image/png"/>
  <Override PartName="/word/media/image104.png" ContentType="image/png"/>
  <Override PartName="/word/media/image105.png" ContentType="image/png"/>
  <Override PartName="/word/media/image106.png" ContentType="image/png"/>
  <Override PartName="/word/media/image107.png" ContentType="image/png"/>
  <Override PartName="/word/media/image108.png" ContentType="image/png"/>
  <Override PartName="/word/media/image109.png" ContentType="image/png"/>
  <Override PartName="/word/media/image112.png" ContentType="image/png"/>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Override PartName="/word/_rels/numbering.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rFonts w:cs="Arial"/>
          <w:b/>
          <w:b/>
          <w:bCs/>
          <w:szCs w:val="24"/>
        </w:rPr>
      </w:pPr>
      <w:r>
        <w:rPr>
          <w:rFonts w:cs="Arial"/>
          <w:b/>
          <w:bCs/>
          <w:szCs w:val="24"/>
        </w:rPr>
        <w:t>I</w:t>
      </w:r>
      <w:bookmarkStart w:id="0" w:name="_Ref148791449"/>
      <w:bookmarkStart w:id="1" w:name="_Ref148637226"/>
      <w:bookmarkStart w:id="2" w:name="_Ref147780085"/>
      <w:bookmarkEnd w:id="0"/>
      <w:bookmarkEnd w:id="1"/>
      <w:bookmarkEnd w:id="2"/>
      <w:r>
        <w:rPr>
          <w:rFonts w:cs="Arial"/>
          <w:b/>
          <w:bCs/>
          <w:szCs w:val="24"/>
        </w:rPr>
        <w:t>NSTITUTO FEDERAL DE EDUCAÇÃO, CIÊNCIA E TECNOLOGIA DE GOIÁS</w:t>
      </w:r>
    </w:p>
    <w:p>
      <w:pPr>
        <w:pStyle w:val="Normal"/>
        <w:jc w:val="center"/>
        <w:rPr>
          <w:rFonts w:cs="Arial"/>
          <w:b/>
          <w:b/>
          <w:bCs/>
          <w:szCs w:val="24"/>
        </w:rPr>
      </w:pPr>
      <w:r>
        <w:rPr>
          <w:rFonts w:cs="Arial"/>
          <w:b/>
          <w:bCs/>
          <w:szCs w:val="24"/>
        </w:rPr>
        <w:t>CAMPUS GOIÂNIA</w:t>
      </w:r>
    </w:p>
    <w:p>
      <w:pPr>
        <w:pStyle w:val="Normal"/>
        <w:jc w:val="center"/>
        <w:rPr>
          <w:rFonts w:cs="Arial"/>
          <w:b/>
          <w:b/>
          <w:bCs/>
          <w:szCs w:val="24"/>
        </w:rPr>
      </w:pPr>
      <w:r>
        <w:rPr>
          <w:rFonts w:cs="Arial"/>
          <w:b/>
          <w:bCs/>
          <w:szCs w:val="24"/>
        </w:rPr>
        <w:t>DEPARTAMENTO DE ÁREAS ACADÊMICAS III</w:t>
      </w:r>
    </w:p>
    <w:p>
      <w:pPr>
        <w:pStyle w:val="Normal"/>
        <w:jc w:val="center"/>
        <w:rPr>
          <w:rFonts w:cs="Arial"/>
          <w:b/>
          <w:b/>
          <w:bCs/>
          <w:szCs w:val="24"/>
        </w:rPr>
      </w:pPr>
      <w:r>
        <w:rPr>
          <w:rFonts w:cs="Arial"/>
          <w:b/>
          <w:bCs/>
          <w:szCs w:val="24"/>
        </w:rPr>
        <w:t>CURSO DE ENGENHARIA CIVIL</w:t>
      </w:r>
    </w:p>
    <w:p>
      <w:pPr>
        <w:pStyle w:val="Normal"/>
        <w:jc w:val="center"/>
        <w:rPr>
          <w:rFonts w:cs="Arial"/>
          <w:szCs w:val="24"/>
        </w:rPr>
      </w:pPr>
      <w:r>
        <w:rPr>
          <w:rFonts w:cs="Arial"/>
          <w:szCs w:val="24"/>
        </w:rPr>
      </w:r>
    </w:p>
    <w:p>
      <w:pPr>
        <w:pStyle w:val="Normal"/>
        <w:jc w:val="center"/>
        <w:rPr>
          <w:rFonts w:cs="Arial"/>
          <w:szCs w:val="24"/>
        </w:rPr>
      </w:pPr>
      <w:r>
        <w:rPr>
          <w:rFonts w:cs="Arial"/>
          <w:szCs w:val="24"/>
        </w:rPr>
      </w:r>
    </w:p>
    <w:p>
      <w:pPr>
        <w:pStyle w:val="Normal"/>
        <w:jc w:val="center"/>
        <w:rPr>
          <w:rFonts w:cs="Arial"/>
          <w:szCs w:val="24"/>
        </w:rPr>
      </w:pPr>
      <w:r>
        <w:rPr>
          <w:rFonts w:cs="Arial"/>
          <w:szCs w:val="24"/>
        </w:rPr>
      </w:r>
    </w:p>
    <w:p>
      <w:pPr>
        <w:pStyle w:val="Normal"/>
        <w:jc w:val="center"/>
        <w:rPr>
          <w:rFonts w:cs="Arial"/>
          <w:szCs w:val="24"/>
        </w:rPr>
      </w:pPr>
      <w:r>
        <w:rPr>
          <w:rFonts w:cs="Arial"/>
          <w:szCs w:val="24"/>
        </w:rPr>
      </w:r>
    </w:p>
    <w:p>
      <w:pPr>
        <w:pStyle w:val="Normal"/>
        <w:jc w:val="center"/>
        <w:rPr>
          <w:rFonts w:cs="Arial"/>
          <w:szCs w:val="24"/>
        </w:rPr>
      </w:pPr>
      <w:r>
        <w:rPr>
          <w:rFonts w:cs="Arial"/>
          <w:szCs w:val="24"/>
        </w:rPr>
      </w:r>
    </w:p>
    <w:p>
      <w:pPr>
        <w:pStyle w:val="Normal"/>
        <w:jc w:val="center"/>
        <w:rPr>
          <w:rFonts w:cs="Arial"/>
          <w:szCs w:val="24"/>
        </w:rPr>
      </w:pPr>
      <w:r>
        <w:rPr>
          <w:rFonts w:cs="Arial"/>
          <w:szCs w:val="24"/>
        </w:rPr>
      </w:r>
    </w:p>
    <w:p>
      <w:pPr>
        <w:pStyle w:val="Normal"/>
        <w:jc w:val="center"/>
        <w:rPr>
          <w:rFonts w:cs="Arial"/>
          <w:szCs w:val="24"/>
        </w:rPr>
      </w:pPr>
      <w:r>
        <w:rPr>
          <w:rFonts w:cs="Arial"/>
          <w:szCs w:val="24"/>
        </w:rPr>
      </w:r>
    </w:p>
    <w:p>
      <w:pPr>
        <w:pStyle w:val="Normal"/>
        <w:jc w:val="center"/>
        <w:rPr>
          <w:rFonts w:cs="Arial"/>
          <w:sz w:val="28"/>
          <w:szCs w:val="28"/>
        </w:rPr>
      </w:pPr>
      <w:r>
        <w:rPr>
          <w:rFonts w:cs="Arial"/>
          <w:sz w:val="28"/>
          <w:szCs w:val="28"/>
        </w:rPr>
      </w:r>
    </w:p>
    <w:p>
      <w:pPr>
        <w:pStyle w:val="Normal"/>
        <w:jc w:val="center"/>
        <w:rPr>
          <w:rFonts w:cs="Arial"/>
          <w:sz w:val="28"/>
          <w:szCs w:val="28"/>
        </w:rPr>
      </w:pPr>
      <w:r>
        <w:rPr>
          <w:rFonts w:cs="Arial"/>
          <w:sz w:val="28"/>
          <w:szCs w:val="28"/>
        </w:rPr>
        <w:t>MATTEUS MESQUITA PAIVA</w:t>
      </w:r>
    </w:p>
    <w:p>
      <w:pPr>
        <w:pStyle w:val="Normal"/>
        <w:jc w:val="center"/>
        <w:rPr>
          <w:rFonts w:cs="Arial"/>
          <w:szCs w:val="24"/>
        </w:rPr>
      </w:pPr>
      <w:r>
        <w:rPr>
          <w:rFonts w:cs="Arial"/>
          <w:szCs w:val="24"/>
        </w:rPr>
      </w:r>
    </w:p>
    <w:p>
      <w:pPr>
        <w:pStyle w:val="Normal"/>
        <w:jc w:val="center"/>
        <w:rPr>
          <w:rFonts w:cs="Arial"/>
          <w:szCs w:val="24"/>
        </w:rPr>
      </w:pPr>
      <w:r>
        <w:rPr>
          <w:rFonts w:cs="Arial"/>
          <w:szCs w:val="24"/>
        </w:rPr>
      </w:r>
    </w:p>
    <w:p>
      <w:pPr>
        <w:pStyle w:val="Normal"/>
        <w:jc w:val="center"/>
        <w:rPr>
          <w:rFonts w:cs="Arial"/>
          <w:szCs w:val="24"/>
        </w:rPr>
      </w:pPr>
      <w:r>
        <w:rPr>
          <w:rFonts w:cs="Arial"/>
          <w:szCs w:val="24"/>
        </w:rPr>
      </w:r>
    </w:p>
    <w:p>
      <w:pPr>
        <w:pStyle w:val="Normal"/>
        <w:jc w:val="center"/>
        <w:rPr>
          <w:rFonts w:cs="Arial"/>
          <w:szCs w:val="24"/>
        </w:rPr>
      </w:pPr>
      <w:r>
        <w:rPr>
          <w:rFonts w:cs="Arial"/>
          <w:szCs w:val="24"/>
        </w:rPr>
      </w:r>
    </w:p>
    <w:p>
      <w:pPr>
        <w:pStyle w:val="Normal"/>
        <w:jc w:val="center"/>
        <w:rPr>
          <w:rFonts w:cs="Arial"/>
          <w:szCs w:val="24"/>
        </w:rPr>
      </w:pPr>
      <w:r>
        <w:rPr>
          <w:rFonts w:cs="Arial"/>
          <w:szCs w:val="24"/>
        </w:rPr>
      </w:r>
    </w:p>
    <w:p>
      <w:pPr>
        <w:pStyle w:val="Normal"/>
        <w:jc w:val="center"/>
        <w:rPr>
          <w:rFonts w:cs="Arial"/>
          <w:szCs w:val="24"/>
        </w:rPr>
      </w:pPr>
      <w:r>
        <w:rPr>
          <w:rFonts w:cs="Arial"/>
          <w:szCs w:val="24"/>
        </w:rPr>
      </w:r>
    </w:p>
    <w:p>
      <w:pPr>
        <w:pStyle w:val="Normal"/>
        <w:jc w:val="center"/>
        <w:rPr>
          <w:rFonts w:cs="Arial"/>
          <w:szCs w:val="24"/>
        </w:rPr>
      </w:pPr>
      <w:r>
        <w:rPr>
          <w:rFonts w:cs="Arial"/>
          <w:szCs w:val="24"/>
        </w:rPr>
      </w:r>
    </w:p>
    <w:p>
      <w:pPr>
        <w:pStyle w:val="Normal"/>
        <w:jc w:val="center"/>
        <w:rPr>
          <w:rFonts w:cs="Arial"/>
          <w:b/>
          <w:b/>
          <w:bCs/>
          <w:szCs w:val="24"/>
        </w:rPr>
      </w:pPr>
      <w:r>
        <w:rPr>
          <w:rFonts w:cs="Arial"/>
          <w:b/>
          <w:bCs/>
          <w:szCs w:val="24"/>
        </w:rPr>
      </w:r>
    </w:p>
    <w:p>
      <w:pPr>
        <w:pStyle w:val="Normal"/>
        <w:jc w:val="center"/>
        <w:rPr>
          <w:rFonts w:cs="Arial"/>
          <w:b/>
          <w:b/>
          <w:bCs/>
          <w:szCs w:val="24"/>
        </w:rPr>
      </w:pPr>
      <w:r>
        <w:rPr>
          <w:rFonts w:cs="Arial"/>
          <w:b/>
          <w:bCs/>
          <w:szCs w:val="24"/>
        </w:rPr>
        <w:t>APLICAÇÃO DA NR-18 EM CANTEIROS DE OBRA: ESTUDOS DE CASOS EM OBRAS DE FUNDAÇÃO NA CIDADE DE GOIÂNIA/GO</w:t>
      </w:r>
    </w:p>
    <w:p>
      <w:pPr>
        <w:pStyle w:val="Normal"/>
        <w:jc w:val="center"/>
        <w:rPr>
          <w:rFonts w:cs="Arial"/>
          <w:szCs w:val="24"/>
        </w:rPr>
      </w:pPr>
      <w:r>
        <w:rPr>
          <w:rFonts w:cs="Arial"/>
          <w:szCs w:val="24"/>
        </w:rPr>
      </w:r>
    </w:p>
    <w:p>
      <w:pPr>
        <w:pStyle w:val="Normal"/>
        <w:jc w:val="center"/>
        <w:rPr>
          <w:rFonts w:cs="Arial"/>
          <w:szCs w:val="24"/>
        </w:rPr>
      </w:pPr>
      <w:r>
        <w:rPr>
          <w:rFonts w:cs="Arial"/>
          <w:szCs w:val="24"/>
        </w:rPr>
      </w:r>
    </w:p>
    <w:p>
      <w:pPr>
        <w:pStyle w:val="Normal"/>
        <w:jc w:val="center"/>
        <w:rPr>
          <w:rFonts w:cs="Arial"/>
          <w:szCs w:val="24"/>
        </w:rPr>
      </w:pPr>
      <w:r>
        <w:rPr>
          <w:rFonts w:cs="Arial"/>
          <w:szCs w:val="24"/>
        </w:rPr>
      </w:r>
    </w:p>
    <w:p>
      <w:pPr>
        <w:pStyle w:val="Normal"/>
        <w:jc w:val="center"/>
        <w:rPr>
          <w:rFonts w:cs="Arial"/>
          <w:szCs w:val="24"/>
        </w:rPr>
      </w:pPr>
      <w:r>
        <w:rPr>
          <w:rFonts w:cs="Arial"/>
          <w:szCs w:val="24"/>
        </w:rPr>
      </w:r>
    </w:p>
    <w:p>
      <w:pPr>
        <w:pStyle w:val="Normal"/>
        <w:jc w:val="center"/>
        <w:rPr>
          <w:rFonts w:cs="Arial"/>
          <w:szCs w:val="24"/>
        </w:rPr>
      </w:pPr>
      <w:r>
        <w:rPr>
          <w:rFonts w:cs="Arial"/>
          <w:szCs w:val="24"/>
        </w:rPr>
      </w:r>
    </w:p>
    <w:p>
      <w:pPr>
        <w:pStyle w:val="Normal"/>
        <w:jc w:val="center"/>
        <w:rPr>
          <w:rFonts w:cs="Arial"/>
          <w:szCs w:val="24"/>
        </w:rPr>
      </w:pPr>
      <w:r>
        <w:rPr>
          <w:rFonts w:cs="Arial"/>
          <w:szCs w:val="24"/>
        </w:rPr>
      </w:r>
    </w:p>
    <w:p>
      <w:pPr>
        <w:pStyle w:val="Normal"/>
        <w:jc w:val="center"/>
        <w:rPr>
          <w:rFonts w:cs="Arial"/>
          <w:szCs w:val="24"/>
        </w:rPr>
      </w:pPr>
      <w:r>
        <w:rPr>
          <w:rFonts w:cs="Arial"/>
          <w:szCs w:val="24"/>
        </w:rPr>
      </w:r>
    </w:p>
    <w:p>
      <w:pPr>
        <w:pStyle w:val="Normal"/>
        <w:jc w:val="center"/>
        <w:rPr>
          <w:rFonts w:cs="Arial"/>
          <w:szCs w:val="24"/>
        </w:rPr>
      </w:pPr>
      <w:r>
        <w:rPr>
          <w:rFonts w:cs="Arial"/>
          <w:szCs w:val="24"/>
        </w:rPr>
      </w:r>
    </w:p>
    <w:p>
      <w:pPr>
        <w:pStyle w:val="Normal"/>
        <w:jc w:val="center"/>
        <w:rPr>
          <w:rFonts w:cs="Arial"/>
          <w:szCs w:val="24"/>
        </w:rPr>
      </w:pPr>
      <w:r>
        <w:rPr>
          <w:rFonts w:cs="Arial"/>
          <w:szCs w:val="24"/>
        </w:rPr>
      </w:r>
    </w:p>
    <w:p>
      <w:pPr>
        <w:pStyle w:val="Normal"/>
        <w:jc w:val="center"/>
        <w:rPr>
          <w:rFonts w:cs="Arial"/>
          <w:szCs w:val="24"/>
        </w:rPr>
      </w:pPr>
      <w:r>
        <w:rPr>
          <w:rFonts w:cs="Arial"/>
          <w:szCs w:val="24"/>
        </w:rPr>
      </w:r>
    </w:p>
    <w:p>
      <w:pPr>
        <w:pStyle w:val="Normal"/>
        <w:jc w:val="center"/>
        <w:rPr>
          <w:rFonts w:cs="Arial"/>
          <w:szCs w:val="24"/>
        </w:rPr>
      </w:pPr>
      <w:r>
        <w:rPr>
          <w:rFonts w:cs="Arial"/>
          <w:szCs w:val="24"/>
        </w:rPr>
      </w:r>
    </w:p>
    <w:p>
      <w:pPr>
        <w:pStyle w:val="Normal"/>
        <w:jc w:val="center"/>
        <w:rPr>
          <w:rFonts w:cs="Arial"/>
          <w:szCs w:val="24"/>
        </w:rPr>
      </w:pPr>
      <w:r>
        <w:rPr>
          <w:rFonts w:cs="Arial"/>
          <w:szCs w:val="24"/>
        </w:rPr>
      </w:r>
    </w:p>
    <w:p>
      <w:pPr>
        <w:pStyle w:val="Normal"/>
        <w:jc w:val="center"/>
        <w:rPr>
          <w:rFonts w:cs="Arial"/>
          <w:szCs w:val="24"/>
        </w:rPr>
      </w:pPr>
      <w:r>
        <w:rPr>
          <w:rFonts w:cs="Arial"/>
          <w:szCs w:val="24"/>
        </w:rPr>
      </w:r>
    </w:p>
    <w:p>
      <w:pPr>
        <w:pStyle w:val="Normal"/>
        <w:jc w:val="center"/>
        <w:rPr>
          <w:rFonts w:cs="Arial"/>
          <w:szCs w:val="24"/>
        </w:rPr>
      </w:pPr>
      <w:r>
        <w:rPr>
          <w:rFonts w:cs="Arial"/>
          <w:szCs w:val="24"/>
        </w:rPr>
      </w:r>
    </w:p>
    <w:p>
      <w:pPr>
        <w:pStyle w:val="Normal"/>
        <w:jc w:val="center"/>
        <w:rPr>
          <w:rFonts w:cs="Arial"/>
          <w:szCs w:val="24"/>
        </w:rPr>
      </w:pPr>
      <w:r>
        <w:rPr>
          <w:rFonts w:cs="Arial"/>
          <w:szCs w:val="24"/>
        </w:rPr>
      </w:r>
    </w:p>
    <w:p>
      <w:pPr>
        <w:pStyle w:val="Normal"/>
        <w:jc w:val="center"/>
        <w:rPr>
          <w:rFonts w:cs="Arial"/>
          <w:szCs w:val="24"/>
        </w:rPr>
      </w:pPr>
      <w:r>
        <w:rPr>
          <w:rFonts w:cs="Arial"/>
          <w:szCs w:val="24"/>
        </w:rPr>
      </w:r>
    </w:p>
    <w:p>
      <w:pPr>
        <w:pStyle w:val="Normal"/>
        <w:jc w:val="center"/>
        <w:rPr>
          <w:rFonts w:cs="Arial"/>
          <w:szCs w:val="24"/>
        </w:rPr>
      </w:pPr>
      <w:r>
        <w:rPr>
          <w:rFonts w:cs="Arial"/>
          <w:szCs w:val="24"/>
        </w:rPr>
      </w:r>
    </w:p>
    <w:p>
      <w:pPr>
        <w:pStyle w:val="Normal"/>
        <w:spacing w:lineRule="auto" w:line="720"/>
        <w:rPr>
          <w:rFonts w:cs="Arial"/>
          <w:szCs w:val="24"/>
        </w:rPr>
      </w:pPr>
      <w:r>
        <w:rPr>
          <w:rFonts w:cs="Arial"/>
          <w:szCs w:val="24"/>
        </w:rPr>
      </w:r>
    </w:p>
    <w:p>
      <w:pPr>
        <w:pStyle w:val="Normal"/>
        <w:spacing w:lineRule="auto" w:line="720"/>
        <w:jc w:val="center"/>
        <w:rPr>
          <w:rFonts w:cs="Arial"/>
          <w:szCs w:val="24"/>
        </w:rPr>
      </w:pPr>
      <w:r>
        <w:rPr>
          <w:rFonts w:cs="Arial"/>
          <w:szCs w:val="24"/>
        </w:rPr>
      </w:r>
    </w:p>
    <w:p>
      <w:pPr>
        <w:pStyle w:val="Normal"/>
        <w:jc w:val="center"/>
        <w:rPr/>
      </w:pPr>
      <w:r>
        <w:rPr/>
      </w:r>
    </w:p>
    <w:p>
      <w:pPr>
        <w:pStyle w:val="Normal"/>
        <w:spacing w:lineRule="auto" w:line="360"/>
        <w:jc w:val="center"/>
        <w:rPr/>
      </w:pPr>
      <w:r>
        <w:rPr/>
        <w:t>Goiânia, GO</w:t>
      </w:r>
    </w:p>
    <w:p>
      <w:pPr>
        <w:pStyle w:val="Normal"/>
        <w:spacing w:lineRule="auto" w:line="360"/>
        <w:jc w:val="center"/>
        <w:rPr/>
      </w:pPr>
      <w:r>
        <w:rPr/>
        <w:t>2023</w:t>
      </w:r>
    </w:p>
    <w:p>
      <w:pPr>
        <w:pStyle w:val="Normal"/>
        <w:jc w:val="center"/>
        <w:rPr/>
      </w:pPr>
      <w:r>
        <w:rPr>
          <w:rFonts w:eastAsia="Verdana" w:cs="Verdana" w:ascii="Verdana" w:hAnsi="Verdana"/>
          <w:b/>
          <w:color w:val="262626"/>
          <w:sz w:val="20"/>
          <w:szCs w:val="20"/>
        </w:rPr>
        <w:t>TERMO DE AUTORIZAÇÃO PARA DISPONIBILIZAÇÃO</w:t>
      </w:r>
    </w:p>
    <w:p>
      <w:pPr>
        <w:pStyle w:val="Normal"/>
        <w:jc w:val="center"/>
        <w:rPr/>
      </w:pPr>
      <w:r>
        <w:rPr>
          <w:rFonts w:eastAsia="Verdana" w:cs="Verdana" w:ascii="Verdana" w:hAnsi="Verdana"/>
          <w:b/>
          <w:color w:val="262626"/>
          <w:sz w:val="20"/>
          <w:szCs w:val="20"/>
        </w:rPr>
        <w:t>NO REPOSITÓRIO DIGITAL DO IFG - ReDi IFG</w:t>
      </w:r>
    </w:p>
    <w:p>
      <w:pPr>
        <w:pStyle w:val="Normal"/>
        <w:jc w:val="center"/>
        <w:rPr>
          <w:rFonts w:ascii="Verdana" w:hAnsi="Verdana" w:eastAsia="Verdana" w:cs="Verdana"/>
          <w:sz w:val="20"/>
          <w:szCs w:val="20"/>
        </w:rPr>
      </w:pPr>
      <w:r>
        <w:rPr>
          <w:rFonts w:eastAsia="Verdana" w:cs="Verdana" w:ascii="Verdana" w:hAnsi="Verdana"/>
          <w:sz w:val="20"/>
          <w:szCs w:val="20"/>
        </w:rPr>
      </w:r>
    </w:p>
    <w:p>
      <w:pPr>
        <w:pStyle w:val="Normal"/>
        <w:rPr/>
      </w:pPr>
      <w:r>
        <w:rPr>
          <w:rFonts w:eastAsia="Verdana" w:cs="Verdana" w:ascii="Verdana" w:hAnsi="Verdana"/>
          <w:sz w:val="20"/>
          <w:szCs w:val="20"/>
        </w:rPr>
        <w:t>Com base no disposto na Lei Federal nº 9.610/98, AUTORIZO o Instituto Federal de Educação, Ciência e Tecnologia de Goiás, a disponibilizar gratuitamente o documento no Repositório Digital (ReDi IFG), sem ressarcimento de direitos autorais, conforme permissão assinada abaixo, em formato digital para fins de leitura, download e impressão, a título de divulgação da produção técnico-científica no IFG.</w:t>
      </w:r>
    </w:p>
    <w:p>
      <w:pPr>
        <w:pStyle w:val="Normal"/>
        <w:ind w:firstLine="708"/>
        <w:rPr>
          <w:rFonts w:ascii="Verdana" w:hAnsi="Verdana" w:eastAsia="Verdana" w:cs="Verdana"/>
          <w:sz w:val="20"/>
          <w:szCs w:val="20"/>
        </w:rPr>
      </w:pPr>
      <w:r>
        <w:rPr>
          <w:rFonts w:eastAsia="Verdana" w:cs="Verdana" w:ascii="Verdana" w:hAnsi="Verdana"/>
          <w:sz w:val="20"/>
          <w:szCs w:val="20"/>
        </w:rPr>
      </w:r>
    </w:p>
    <w:p>
      <w:pPr>
        <w:pStyle w:val="Normal"/>
        <w:ind w:hanging="360"/>
        <w:rPr/>
      </w:pPr>
      <w:r>
        <w:rPr>
          <w:rFonts w:eastAsia="Verdana" w:cs="Verdana" w:ascii="Verdana" w:hAnsi="Verdana"/>
          <w:b/>
          <w:sz w:val="20"/>
          <w:szCs w:val="20"/>
        </w:rPr>
        <w:tab/>
        <w:t>Identificação da Produção Técnico-Científica</w:t>
      </w:r>
    </w:p>
    <w:tbl>
      <w:tblPr>
        <w:tblW w:w="9364" w:type="dxa"/>
        <w:jc w:val="left"/>
        <w:tblInd w:w="11" w:type="dxa"/>
        <w:tblCellMar>
          <w:top w:w="11" w:type="dxa"/>
          <w:left w:w="11" w:type="dxa"/>
          <w:bottom w:w="11" w:type="dxa"/>
          <w:right w:w="11" w:type="dxa"/>
        </w:tblCellMar>
        <w:tblLook w:firstRow="0" w:noVBand="0" w:lastRow="0" w:firstColumn="0" w:lastColumn="0" w:noHBand="0" w:val="0000"/>
      </w:tblPr>
      <w:tblGrid>
        <w:gridCol w:w="514"/>
        <w:gridCol w:w="4167"/>
        <w:gridCol w:w="536"/>
        <w:gridCol w:w="4146"/>
      </w:tblGrid>
      <w:tr>
        <w:trPr/>
        <w:tc>
          <w:tcPr>
            <w:tcW w:w="514" w:type="dxa"/>
            <w:tcBorders/>
          </w:tcPr>
          <w:p>
            <w:pPr>
              <w:pStyle w:val="Contedodatabela"/>
              <w:rPr/>
            </w:pPr>
            <w:r>
              <w:rPr/>
              <w:t>[   ]</w:t>
            </w:r>
          </w:p>
        </w:tc>
        <w:tc>
          <w:tcPr>
            <w:tcW w:w="4167" w:type="dxa"/>
            <w:tcBorders/>
          </w:tcPr>
          <w:p>
            <w:pPr>
              <w:pStyle w:val="Normal"/>
              <w:rPr/>
            </w:pPr>
            <w:r>
              <w:rPr>
                <w:rFonts w:eastAsia="Verdana" w:cs="Verdana" w:ascii="Verdana" w:hAnsi="Verdana"/>
                <w:sz w:val="20"/>
                <w:szCs w:val="20"/>
              </w:rPr>
              <w:t xml:space="preserve">Tese </w:t>
            </w:r>
          </w:p>
        </w:tc>
        <w:tc>
          <w:tcPr>
            <w:tcW w:w="536" w:type="dxa"/>
            <w:tcBorders/>
          </w:tcPr>
          <w:p>
            <w:pPr>
              <w:pStyle w:val="Contedodatabela"/>
              <w:rPr/>
            </w:pPr>
            <w:r>
              <w:rPr/>
              <w:t>[   ]</w:t>
            </w:r>
          </w:p>
        </w:tc>
        <w:tc>
          <w:tcPr>
            <w:tcW w:w="4146" w:type="dxa"/>
            <w:tcBorders/>
          </w:tcPr>
          <w:p>
            <w:pPr>
              <w:pStyle w:val="Normal"/>
              <w:rPr/>
            </w:pPr>
            <w:r>
              <w:rPr>
                <w:rFonts w:eastAsia="Verdana" w:cs="Verdana" w:ascii="Verdana" w:hAnsi="Verdana"/>
                <w:sz w:val="20"/>
                <w:szCs w:val="20"/>
              </w:rPr>
              <w:t>Artigo Científico</w:t>
            </w:r>
          </w:p>
        </w:tc>
      </w:tr>
      <w:tr>
        <w:trPr/>
        <w:tc>
          <w:tcPr>
            <w:tcW w:w="514" w:type="dxa"/>
            <w:tcBorders/>
          </w:tcPr>
          <w:p>
            <w:pPr>
              <w:pStyle w:val="Contedodatabela"/>
              <w:rPr/>
            </w:pPr>
            <w:r>
              <w:rPr/>
              <w:t>[   ]</w:t>
            </w:r>
          </w:p>
        </w:tc>
        <w:tc>
          <w:tcPr>
            <w:tcW w:w="4167" w:type="dxa"/>
            <w:tcBorders/>
          </w:tcPr>
          <w:p>
            <w:pPr>
              <w:pStyle w:val="Normal"/>
              <w:rPr/>
            </w:pPr>
            <w:r>
              <w:rPr>
                <w:rFonts w:eastAsia="Verdana" w:cs="Verdana" w:ascii="Verdana" w:hAnsi="Verdana"/>
                <w:sz w:val="20"/>
                <w:szCs w:val="20"/>
              </w:rPr>
              <w:t>Dissertação</w:t>
            </w:r>
          </w:p>
        </w:tc>
        <w:tc>
          <w:tcPr>
            <w:tcW w:w="536" w:type="dxa"/>
            <w:tcBorders/>
          </w:tcPr>
          <w:p>
            <w:pPr>
              <w:pStyle w:val="Contedodatabela"/>
              <w:rPr/>
            </w:pPr>
            <w:r>
              <w:rPr/>
              <w:t>[   ]</w:t>
            </w:r>
          </w:p>
        </w:tc>
        <w:tc>
          <w:tcPr>
            <w:tcW w:w="4146" w:type="dxa"/>
            <w:tcBorders/>
          </w:tcPr>
          <w:p>
            <w:pPr>
              <w:pStyle w:val="Normal"/>
              <w:rPr/>
            </w:pPr>
            <w:r>
              <w:rPr>
                <w:rFonts w:eastAsia="Verdana" w:cs="Verdana" w:ascii="Verdana" w:hAnsi="Verdana"/>
                <w:sz w:val="20"/>
                <w:szCs w:val="20"/>
              </w:rPr>
              <w:t>Capítulo de Livro</w:t>
            </w:r>
          </w:p>
        </w:tc>
      </w:tr>
      <w:tr>
        <w:trPr/>
        <w:tc>
          <w:tcPr>
            <w:tcW w:w="514" w:type="dxa"/>
            <w:tcBorders/>
          </w:tcPr>
          <w:p>
            <w:pPr>
              <w:pStyle w:val="Contedodatabela"/>
              <w:rPr/>
            </w:pPr>
            <w:r>
              <w:rPr/>
              <w:t>[   ]</w:t>
            </w:r>
          </w:p>
        </w:tc>
        <w:tc>
          <w:tcPr>
            <w:tcW w:w="4167" w:type="dxa"/>
            <w:tcBorders/>
          </w:tcPr>
          <w:p>
            <w:pPr>
              <w:pStyle w:val="Normal"/>
              <w:rPr/>
            </w:pPr>
            <w:r>
              <w:rPr>
                <w:rFonts w:eastAsia="Verdana" w:cs="Verdana" w:ascii="Verdana" w:hAnsi="Verdana"/>
                <w:sz w:val="20"/>
                <w:szCs w:val="20"/>
              </w:rPr>
              <w:t>Monografia – Especialização</w:t>
            </w:r>
          </w:p>
        </w:tc>
        <w:tc>
          <w:tcPr>
            <w:tcW w:w="536" w:type="dxa"/>
            <w:tcBorders/>
          </w:tcPr>
          <w:p>
            <w:pPr>
              <w:pStyle w:val="Contedodatabela"/>
              <w:rPr/>
            </w:pPr>
            <w:r>
              <w:rPr/>
              <w:t>[   ]</w:t>
            </w:r>
          </w:p>
        </w:tc>
        <w:tc>
          <w:tcPr>
            <w:tcW w:w="4146" w:type="dxa"/>
            <w:tcBorders/>
          </w:tcPr>
          <w:p>
            <w:pPr>
              <w:pStyle w:val="Normal"/>
              <w:rPr/>
            </w:pPr>
            <w:r>
              <w:rPr>
                <w:rFonts w:eastAsia="Verdana" w:cs="Verdana" w:ascii="Verdana" w:hAnsi="Verdana"/>
                <w:sz w:val="20"/>
                <w:szCs w:val="20"/>
              </w:rPr>
              <w:t>Livro</w:t>
            </w:r>
          </w:p>
        </w:tc>
      </w:tr>
      <w:tr>
        <w:trPr/>
        <w:tc>
          <w:tcPr>
            <w:tcW w:w="514" w:type="dxa"/>
            <w:tcBorders/>
          </w:tcPr>
          <w:p>
            <w:pPr>
              <w:pStyle w:val="Contedodatabela"/>
              <w:rPr/>
            </w:pPr>
            <w:r>
              <w:rPr/>
              <w:t>[ x ]</w:t>
            </w:r>
          </w:p>
        </w:tc>
        <w:tc>
          <w:tcPr>
            <w:tcW w:w="4167" w:type="dxa"/>
            <w:tcBorders/>
          </w:tcPr>
          <w:p>
            <w:pPr>
              <w:pStyle w:val="Normal"/>
              <w:rPr/>
            </w:pPr>
            <w:r>
              <w:rPr>
                <w:rFonts w:eastAsia="Verdana" w:cs="Verdana" w:ascii="Verdana" w:hAnsi="Verdana"/>
                <w:sz w:val="20"/>
                <w:szCs w:val="20"/>
              </w:rPr>
              <w:t>TCC - Graduação</w:t>
            </w:r>
          </w:p>
        </w:tc>
        <w:tc>
          <w:tcPr>
            <w:tcW w:w="536" w:type="dxa"/>
            <w:tcBorders/>
          </w:tcPr>
          <w:p>
            <w:pPr>
              <w:pStyle w:val="Contedodatabela"/>
              <w:rPr/>
            </w:pPr>
            <w:r>
              <w:rPr/>
              <w:t>[   ]</w:t>
            </w:r>
          </w:p>
        </w:tc>
        <w:tc>
          <w:tcPr>
            <w:tcW w:w="4146" w:type="dxa"/>
            <w:tcBorders/>
          </w:tcPr>
          <w:p>
            <w:pPr>
              <w:pStyle w:val="Normal"/>
              <w:rPr/>
            </w:pPr>
            <w:r>
              <w:rPr>
                <w:rFonts w:eastAsia="Verdana" w:cs="Verdana" w:ascii="Verdana" w:hAnsi="Verdana"/>
                <w:sz w:val="20"/>
                <w:szCs w:val="20"/>
              </w:rPr>
              <w:t>Trabalho Apresentado em Evento</w:t>
            </w:r>
          </w:p>
        </w:tc>
      </w:tr>
      <w:tr>
        <w:trPr/>
        <w:tc>
          <w:tcPr>
            <w:tcW w:w="514" w:type="dxa"/>
            <w:tcBorders/>
          </w:tcPr>
          <w:p>
            <w:pPr>
              <w:pStyle w:val="Contedodatabela"/>
              <w:rPr/>
            </w:pPr>
            <w:r>
              <w:rPr/>
              <w:t>[   ]</w:t>
            </w:r>
          </w:p>
        </w:tc>
        <w:tc>
          <w:tcPr>
            <w:tcW w:w="8849" w:type="dxa"/>
            <w:gridSpan w:val="3"/>
            <w:tcBorders/>
          </w:tcPr>
          <w:p>
            <w:pPr>
              <w:pStyle w:val="Normal"/>
              <w:rPr/>
            </w:pPr>
            <w:r>
              <w:rPr>
                <w:rFonts w:eastAsia="Verdana" w:cs="Verdana" w:ascii="Verdana" w:hAnsi="Verdana"/>
                <w:sz w:val="20"/>
                <w:szCs w:val="20"/>
              </w:rPr>
              <w:t>Produto Técnico e Educacional - Tipo: ___________________________________</w:t>
              <w:tab/>
            </w:r>
          </w:p>
        </w:tc>
      </w:tr>
    </w:tbl>
    <w:p>
      <w:pPr>
        <w:pStyle w:val="Normal"/>
        <w:rPr>
          <w:rFonts w:ascii="Verdana" w:hAnsi="Verdana" w:eastAsia="Verdana" w:cs="Verdana"/>
          <w:sz w:val="20"/>
          <w:szCs w:val="20"/>
        </w:rPr>
      </w:pPr>
      <w:r>
        <w:rPr>
          <w:rFonts w:eastAsia="Verdana" w:cs="Verdana" w:ascii="Verdana" w:hAnsi="Verdana"/>
          <w:sz w:val="20"/>
          <w:szCs w:val="20"/>
        </w:rPr>
      </w:r>
    </w:p>
    <w:p>
      <w:pPr>
        <w:pStyle w:val="Normal"/>
        <w:ind w:hanging="360"/>
        <w:rPr/>
      </w:pPr>
      <w:r>
        <w:rPr>
          <w:rFonts w:eastAsia="Verdana" w:cs="Verdana" w:ascii="Verdana" w:hAnsi="Verdana"/>
          <w:b/>
          <w:sz w:val="20"/>
          <w:szCs w:val="20"/>
        </w:rPr>
        <w:tab/>
      </w:r>
      <w:r>
        <w:rPr>
          <w:rFonts w:eastAsia="Verdana" w:cs="Verdana" w:ascii="Verdana" w:hAnsi="Verdana"/>
          <w:sz w:val="20"/>
          <w:szCs w:val="20"/>
        </w:rPr>
        <w:t>Nome Completo do Autor: Matteus Mesquita Paiva</w:t>
      </w:r>
    </w:p>
    <w:p>
      <w:pPr>
        <w:pStyle w:val="Normal"/>
        <w:ind w:hanging="360"/>
        <w:rPr/>
      </w:pPr>
      <w:r>
        <w:rPr>
          <w:rFonts w:eastAsia="Verdana" w:cs="Verdana" w:ascii="Verdana" w:hAnsi="Verdana"/>
          <w:sz w:val="20"/>
          <w:szCs w:val="20"/>
        </w:rPr>
        <w:tab/>
        <w:t>Matrícula:20201011050500</w:t>
      </w:r>
    </w:p>
    <w:p>
      <w:pPr>
        <w:pStyle w:val="Normal"/>
        <w:widowControl w:val="false"/>
        <w:rPr/>
      </w:pPr>
      <w:r>
        <w:rPr>
          <w:rFonts w:eastAsia="Verdana" w:cs="Verdana" w:ascii="Verdana" w:hAnsi="Verdana"/>
          <w:sz w:val="20"/>
          <w:szCs w:val="20"/>
        </w:rPr>
        <w:t>Título do Trabalho: Aplicação da NR-18 em canteiros de obra: Estudos de casos em obras de fundação na cidade de Goiânia/Go.</w:t>
      </w:r>
    </w:p>
    <w:p>
      <w:pPr>
        <w:pStyle w:val="Normal"/>
        <w:rPr>
          <w:rFonts w:eastAsia="Arial" w:cs="Arial"/>
          <w:color w:val="262626"/>
          <w:sz w:val="20"/>
          <w:szCs w:val="20"/>
        </w:rPr>
      </w:pPr>
      <w:r>
        <w:rPr>
          <w:rFonts w:eastAsia="Arial" w:cs="Arial"/>
          <w:color w:val="262626"/>
          <w:sz w:val="20"/>
          <w:szCs w:val="20"/>
        </w:rPr>
      </w:r>
    </w:p>
    <w:p>
      <w:pPr>
        <w:pStyle w:val="Normal"/>
        <w:rPr>
          <w:rFonts w:ascii="Verdana" w:hAnsi="Verdana" w:eastAsia="Verdana" w:cs="Verdana"/>
          <w:b/>
          <w:b/>
          <w:sz w:val="20"/>
          <w:szCs w:val="20"/>
        </w:rPr>
      </w:pPr>
      <w:r>
        <w:rPr>
          <w:rFonts w:eastAsia="Verdana" w:cs="Verdana" w:ascii="Verdana" w:hAnsi="Verdana"/>
          <w:b/>
          <w:sz w:val="20"/>
          <w:szCs w:val="20"/>
        </w:rPr>
        <w:t>Autorização - Marque uma das opções</w:t>
      </w:r>
    </w:p>
    <w:p>
      <w:pPr>
        <w:pStyle w:val="Normal"/>
        <w:widowControl w:val="false"/>
        <w:numPr>
          <w:ilvl w:val="0"/>
          <w:numId w:val="4"/>
        </w:numPr>
        <w:pBdr/>
        <w:suppressAutoHyphens w:val="true"/>
        <w:spacing w:lineRule="auto" w:line="360"/>
        <w:rPr>
          <w:rFonts w:ascii="Verdana" w:hAnsi="Verdana" w:eastAsia="Verdana" w:cs="Verdana"/>
          <w:sz w:val="20"/>
          <w:szCs w:val="20"/>
        </w:rPr>
      </w:pPr>
      <w:r>
        <w:rPr>
          <w:rFonts w:eastAsia="Verdana" w:cs="Verdana" w:ascii="Verdana" w:hAnsi="Verdana"/>
          <w:sz w:val="20"/>
          <w:szCs w:val="20"/>
        </w:rPr>
        <w:t>( x ) Autorizo disponibilizar meu trabalho no Repositório Digital do IFG (acesso aberto);</w:t>
      </w:r>
    </w:p>
    <w:p>
      <w:pPr>
        <w:pStyle w:val="Normal"/>
        <w:widowControl w:val="false"/>
        <w:numPr>
          <w:ilvl w:val="0"/>
          <w:numId w:val="4"/>
        </w:numPr>
        <w:pBdr/>
        <w:suppressAutoHyphens w:val="true"/>
        <w:spacing w:lineRule="auto" w:line="360"/>
        <w:jc w:val="left"/>
        <w:rPr>
          <w:rFonts w:ascii="Verdana" w:hAnsi="Verdana" w:eastAsia="Verdana" w:cs="Verdana"/>
          <w:sz w:val="20"/>
          <w:szCs w:val="20"/>
        </w:rPr>
      </w:pPr>
      <w:r>
        <w:rPr>
          <w:rFonts w:eastAsia="Verdana" w:cs="Verdana" w:ascii="Verdana" w:hAnsi="Verdana"/>
          <w:sz w:val="20"/>
          <w:szCs w:val="20"/>
        </w:rPr>
        <w:t>(   ) Autorizo disponibilizar meu trabalho no Repositório Digital do IFG somente após a data ___/___/_____ (Embargo);</w:t>
      </w:r>
    </w:p>
    <w:p>
      <w:pPr>
        <w:pStyle w:val="Normal"/>
        <w:widowControl w:val="false"/>
        <w:numPr>
          <w:ilvl w:val="0"/>
          <w:numId w:val="4"/>
        </w:numPr>
        <w:pBdr/>
        <w:suppressAutoHyphens w:val="true"/>
        <w:spacing w:lineRule="auto" w:line="360"/>
        <w:rPr>
          <w:rFonts w:ascii="Verdana" w:hAnsi="Verdana" w:eastAsia="Verdana" w:cs="Verdana"/>
          <w:sz w:val="20"/>
          <w:szCs w:val="20"/>
        </w:rPr>
      </w:pPr>
      <w:r>
        <w:rPr>
          <w:rFonts w:eastAsia="Verdana" w:cs="Verdana" w:ascii="Verdana" w:hAnsi="Verdana"/>
          <w:sz w:val="20"/>
          <w:szCs w:val="20"/>
        </w:rPr>
        <w:t>(   ) Não autorizo disponibilizar meu trabalho no Repositório Digital do IFG (acesso restrito).</w:t>
      </w:r>
    </w:p>
    <w:p>
      <w:pPr>
        <w:pStyle w:val="Normal"/>
        <w:widowControl w:val="false"/>
        <w:spacing w:lineRule="auto" w:line="360"/>
        <w:rPr>
          <w:rFonts w:ascii="Verdana" w:hAnsi="Verdana" w:eastAsia="Verdana" w:cs="Verdana"/>
          <w:sz w:val="20"/>
          <w:szCs w:val="20"/>
        </w:rPr>
      </w:pPr>
      <w:r>
        <w:rPr>
          <w:rFonts w:eastAsia="Verdana" w:cs="Verdana" w:ascii="Verdana" w:hAnsi="Verdana"/>
          <w:sz w:val="20"/>
          <w:szCs w:val="20"/>
        </w:rPr>
        <w:t xml:space="preserve">Ao indicar a opção </w:t>
      </w:r>
      <w:r>
        <w:rPr>
          <w:rFonts w:eastAsia="Verdana" w:cs="Verdana" w:ascii="Verdana" w:hAnsi="Verdana"/>
          <w:b/>
          <w:sz w:val="20"/>
          <w:szCs w:val="20"/>
        </w:rPr>
        <w:t>2 ou 3</w:t>
      </w:r>
      <w:r>
        <w:rPr>
          <w:rFonts w:eastAsia="Verdana" w:cs="Verdana" w:ascii="Verdana" w:hAnsi="Verdana"/>
          <w:sz w:val="20"/>
          <w:szCs w:val="20"/>
        </w:rPr>
        <w:t>, marque a justificativa:</w:t>
        <w:tab/>
      </w:r>
    </w:p>
    <w:p>
      <w:pPr>
        <w:pStyle w:val="Normal"/>
        <w:widowControl w:val="false"/>
        <w:ind w:firstLine="720"/>
        <w:rPr/>
      </w:pPr>
      <w:r>
        <w:rPr>
          <w:rFonts w:eastAsia="Verdana" w:cs="Verdana" w:ascii="Verdana" w:hAnsi="Verdana"/>
          <w:sz w:val="20"/>
          <w:szCs w:val="20"/>
        </w:rPr>
        <w:t>(   ) O documento está sujeito a registro de patente.</w:t>
        <w:tab/>
      </w:r>
    </w:p>
    <w:p>
      <w:pPr>
        <w:pStyle w:val="Normal"/>
        <w:widowControl w:val="false"/>
        <w:ind w:firstLine="720"/>
        <w:rPr>
          <w:rFonts w:ascii="Verdana" w:hAnsi="Verdana" w:eastAsia="Verdana" w:cs="Verdana"/>
          <w:sz w:val="20"/>
          <w:szCs w:val="20"/>
        </w:rPr>
      </w:pPr>
      <w:r>
        <w:rPr>
          <w:rFonts w:eastAsia="Verdana" w:cs="Verdana" w:ascii="Verdana" w:hAnsi="Verdana"/>
          <w:sz w:val="20"/>
          <w:szCs w:val="20"/>
        </w:rPr>
        <w:t>(   ) O documento pode vir a ser publicado como livro, capítulo de livro ou artigo.</w:t>
      </w:r>
    </w:p>
    <w:p>
      <w:pPr>
        <w:pStyle w:val="Normal"/>
        <w:widowControl w:val="false"/>
        <w:ind w:firstLine="720"/>
        <w:rPr/>
      </w:pPr>
      <w:r>
        <w:rPr>
          <w:rFonts w:eastAsia="Verdana" w:cs="Verdana" w:ascii="Verdana" w:hAnsi="Verdana"/>
          <w:sz w:val="20"/>
          <w:szCs w:val="20"/>
        </w:rPr>
        <w:t>( ) Outra justificativa: ________________________________________________</w:t>
      </w:r>
    </w:p>
    <w:p>
      <w:pPr>
        <w:pStyle w:val="Normal"/>
        <w:widowControl w:val="false"/>
        <w:rPr>
          <w:rFonts w:ascii="Verdana" w:hAnsi="Verdana" w:eastAsia="Verdana" w:cs="Verdana"/>
          <w:sz w:val="20"/>
          <w:szCs w:val="20"/>
        </w:rPr>
      </w:pPr>
      <w:r>
        <w:rPr>
          <w:rFonts w:eastAsia="Verdana" w:cs="Verdana" w:ascii="Verdana" w:hAnsi="Verdana"/>
          <w:sz w:val="20"/>
          <w:szCs w:val="20"/>
        </w:rPr>
      </w:r>
    </w:p>
    <w:p>
      <w:pPr>
        <w:pStyle w:val="Normal"/>
        <w:jc w:val="center"/>
        <w:rPr/>
      </w:pPr>
      <w:r>
        <w:rPr>
          <w:rFonts w:eastAsia="Verdana" w:cs="Verdana" w:ascii="Verdana" w:hAnsi="Verdana"/>
          <w:b/>
          <w:color w:val="262626"/>
          <w:sz w:val="20"/>
          <w:szCs w:val="20"/>
        </w:rPr>
        <w:t>DECLARAÇÃO DE DISTRIBUIÇÃO NÃO-EXCLUSIVA</w:t>
      </w:r>
    </w:p>
    <w:p>
      <w:pPr>
        <w:pStyle w:val="Normal"/>
        <w:jc w:val="center"/>
        <w:rPr>
          <w:rFonts w:ascii="Verdana" w:hAnsi="Verdana" w:eastAsia="Verdana" w:cs="Verdana"/>
          <w:sz w:val="20"/>
          <w:szCs w:val="20"/>
        </w:rPr>
      </w:pPr>
      <w:r>
        <w:rPr>
          <w:rFonts w:eastAsia="Verdana" w:cs="Verdana" w:ascii="Verdana" w:hAnsi="Verdana"/>
          <w:sz w:val="20"/>
          <w:szCs w:val="20"/>
        </w:rPr>
      </w:r>
    </w:p>
    <w:p>
      <w:pPr>
        <w:pStyle w:val="Normal"/>
        <w:rPr/>
      </w:pPr>
      <w:r>
        <w:rPr>
          <w:rFonts w:eastAsia="Verdana" w:cs="Verdana" w:ascii="Verdana" w:hAnsi="Verdana"/>
          <w:sz w:val="20"/>
          <w:szCs w:val="20"/>
        </w:rPr>
        <w:t>O/A referido/a autor/a declara que:</w:t>
      </w:r>
    </w:p>
    <w:p>
      <w:pPr>
        <w:pStyle w:val="Normal"/>
        <w:numPr>
          <w:ilvl w:val="0"/>
          <w:numId w:val="3"/>
        </w:numPr>
        <w:pBdr/>
        <w:suppressAutoHyphens w:val="true"/>
        <w:rPr/>
      </w:pPr>
      <w:r>
        <w:rPr>
          <w:rFonts w:eastAsia="Verdana" w:cs="Verdana" w:ascii="Verdana" w:hAnsi="Verdana"/>
          <w:sz w:val="20"/>
          <w:szCs w:val="20"/>
        </w:rPr>
        <w:t>o documento é seu trabalho original, detém os direitos autorais da produção técnico-científica e não infringe os direitos de qualquer outra pessoa ou entidade;</w:t>
      </w:r>
    </w:p>
    <w:p>
      <w:pPr>
        <w:pStyle w:val="Normal"/>
        <w:numPr>
          <w:ilvl w:val="0"/>
          <w:numId w:val="3"/>
        </w:numPr>
        <w:pBdr/>
        <w:suppressAutoHyphens w:val="true"/>
        <w:rPr/>
      </w:pPr>
      <w:r>
        <w:rPr>
          <w:rFonts w:eastAsia="Verdana" w:cs="Verdana" w:ascii="Verdana" w:hAnsi="Verdana"/>
          <w:sz w:val="20"/>
          <w:szCs w:val="20"/>
        </w:rPr>
        <w:t>obteve autorização de quaisquer materiais inclusos no documento do qual não detém os direitos de autor/a, para conceder ao Instituto Federal de Educação, Ciência e Tecnologia de Goiás os direitos requeridos e que este material cujos direitos autorais são de terceiros, estão claramente identificados e reconhecidos no texto ou conteúdo do documento entregue;</w:t>
      </w:r>
    </w:p>
    <w:p>
      <w:pPr>
        <w:pStyle w:val="Normal"/>
        <w:numPr>
          <w:ilvl w:val="0"/>
          <w:numId w:val="3"/>
        </w:numPr>
        <w:pBdr/>
        <w:suppressAutoHyphens w:val="true"/>
        <w:rPr/>
      </w:pPr>
      <w:r>
        <w:rPr>
          <w:rFonts w:eastAsia="Verdana" w:cs="Verdana" w:ascii="Verdana" w:hAnsi="Verdana"/>
          <w:sz w:val="20"/>
          <w:szCs w:val="20"/>
        </w:rPr>
        <w:t>cumpriu quaisquer obrigações exigidas por contrato ou acordo, caso o documento entregue seja baseado em trabalho financiado ou apoiado por outra instituição que não o Instituto Federal de Educação, Ciência e Tecnologia de Goiás.</w:t>
      </w:r>
    </w:p>
    <w:p>
      <w:pPr>
        <w:pStyle w:val="Normal"/>
        <w:jc w:val="right"/>
        <w:rPr/>
      </w:pPr>
      <w:r>
        <w:rPr>
          <w:rFonts w:eastAsia="Arial" w:cs="Arial"/>
          <w:sz w:val="20"/>
          <w:szCs w:val="20"/>
        </w:rPr>
        <w:t>Goiânia, 20 / 12 / 2023.</w:t>
      </w:r>
    </w:p>
    <w:p>
      <w:pPr>
        <w:pStyle w:val="Normal"/>
        <w:jc w:val="center"/>
        <w:rPr/>
      </w:pPr>
      <w:r>
        <w:rPr>
          <w:rFonts w:eastAsia="Arial" w:cs="Arial"/>
          <w:sz w:val="20"/>
          <w:szCs w:val="20"/>
        </w:rPr>
        <w:t xml:space="preserve">                                                                                                    </w:t>
      </w:r>
      <w:r>
        <w:rPr>
          <w:rFonts w:eastAsia="Arial" w:cs="Arial"/>
          <w:sz w:val="20"/>
          <w:szCs w:val="20"/>
        </w:rPr>
        <w:drawing>
          <wp:anchor behindDoc="1" distT="0" distB="0" distL="0" distR="0" simplePos="0" locked="0" layoutInCell="1" allowOverlap="1" relativeHeight="3">
            <wp:simplePos x="0" y="0"/>
            <wp:positionH relativeFrom="column">
              <wp:posOffset>1700530</wp:posOffset>
            </wp:positionH>
            <wp:positionV relativeFrom="paragraph">
              <wp:posOffset>32385</wp:posOffset>
            </wp:positionV>
            <wp:extent cx="2711450" cy="584200"/>
            <wp:effectExtent l="0" t="0" r="0" b="0"/>
            <wp:wrapNone/>
            <wp:docPr id="1" name="Imagem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
                    <pic:cNvPicPr>
                      <a:picLocks noChangeAspect="1" noChangeArrowheads="1"/>
                    </pic:cNvPicPr>
                  </pic:nvPicPr>
                  <pic:blipFill>
                    <a:blip r:embed="rId2"/>
                    <a:stretch>
                      <a:fillRect/>
                    </a:stretch>
                  </pic:blipFill>
                  <pic:spPr bwMode="auto">
                    <a:xfrm>
                      <a:off x="0" y="0"/>
                      <a:ext cx="2711450" cy="584200"/>
                    </a:xfrm>
                    <a:prstGeom prst="rect">
                      <a:avLst/>
                    </a:prstGeom>
                  </pic:spPr>
                </pic:pic>
              </a:graphicData>
            </a:graphic>
          </wp:anchor>
        </w:drawing>
      </w:r>
      <w:r>
        <w:rPr>
          <w:rFonts w:eastAsia="Arial" w:cs="Arial"/>
          <w:sz w:val="20"/>
          <w:szCs w:val="20"/>
        </w:rPr>
        <w:t>Local                                 Data</w:t>
      </w:r>
    </w:p>
    <w:p>
      <w:pPr>
        <w:pStyle w:val="Normal"/>
        <w:jc w:val="center"/>
        <w:rPr>
          <w:rFonts w:ascii="Verdana" w:hAnsi="Verdana" w:eastAsia="Verdana" w:cs="Verdana"/>
          <w:sz w:val="20"/>
          <w:szCs w:val="20"/>
        </w:rPr>
      </w:pPr>
      <w:r>
        <w:rPr>
          <w:rFonts w:eastAsia="Verdana" w:cs="Verdana" w:ascii="Verdana" w:hAnsi="Verdana"/>
          <w:sz w:val="20"/>
          <w:szCs w:val="20"/>
        </w:rPr>
      </w:r>
    </w:p>
    <w:p>
      <w:pPr>
        <w:pStyle w:val="Normal"/>
        <w:tabs>
          <w:tab w:val="clear" w:pos="708"/>
          <w:tab w:val="left" w:pos="2610" w:leader="none"/>
        </w:tabs>
        <w:rPr>
          <w:rFonts w:ascii="Verdana" w:hAnsi="Verdana" w:eastAsia="Verdana" w:cs="Verdana"/>
          <w:sz w:val="20"/>
          <w:szCs w:val="20"/>
        </w:rPr>
      </w:pPr>
      <w:r>
        <w:rPr>
          <w:rFonts w:eastAsia="Verdana" w:cs="Verdana" w:ascii="Verdana" w:hAnsi="Verdana"/>
          <w:sz w:val="20"/>
          <w:szCs w:val="20"/>
        </w:rPr>
        <w:tab/>
      </w:r>
    </w:p>
    <w:p>
      <w:pPr>
        <w:pStyle w:val="Normal"/>
        <w:jc w:val="center"/>
        <w:rPr/>
      </w:pPr>
      <w:r>
        <w:rPr>
          <w:rFonts w:eastAsia="Verdana" w:cs="Verdana" w:ascii="Verdana" w:hAnsi="Verdana"/>
          <w:sz w:val="20"/>
          <w:szCs w:val="20"/>
        </w:rPr>
        <w:t>_____________________________________________________________</w:t>
      </w:r>
    </w:p>
    <w:p>
      <w:pPr>
        <w:sectPr>
          <w:headerReference w:type="default" r:id="rId3"/>
          <w:type w:val="nextPage"/>
          <w:pgSz w:w="11906" w:h="16838"/>
          <w:pgMar w:left="1701" w:right="1134" w:header="709" w:top="1701" w:footer="0" w:bottom="1134" w:gutter="0"/>
          <w:pgNumType w:fmt="decimal"/>
          <w:formProt w:val="false"/>
          <w:titlePg/>
          <w:textDirection w:val="lrTb"/>
          <w:docGrid w:type="default" w:linePitch="360" w:charSpace="0"/>
        </w:sectPr>
        <w:pStyle w:val="Normal"/>
        <w:jc w:val="center"/>
        <w:rPr/>
      </w:pPr>
      <w:r>
        <w:rPr>
          <w:rFonts w:eastAsia="Verdana" w:cs="Verdana" w:ascii="Verdana" w:hAnsi="Verdana"/>
          <w:sz w:val="20"/>
          <w:szCs w:val="20"/>
        </w:rPr>
        <w:t>Assinatura do Autor e/ou Detentor dos Direitos Autorais</w:t>
      </w:r>
    </w:p>
    <w:p>
      <w:pPr>
        <w:pStyle w:val="Normal"/>
        <w:jc w:val="center"/>
        <w:rPr>
          <w:rFonts w:cs="Arial"/>
          <w:b/>
          <w:b/>
          <w:bCs/>
          <w:szCs w:val="24"/>
        </w:rPr>
      </w:pPr>
      <w:r>
        <w:rPr>
          <w:rFonts w:cs="Arial"/>
          <w:b/>
          <w:bCs/>
          <w:szCs w:val="24"/>
        </w:rPr>
        <w:t>MATTEUS MESQUITA PAIVA</w:t>
      </w:r>
    </w:p>
    <w:p>
      <w:pPr>
        <w:pStyle w:val="Normal"/>
        <w:jc w:val="center"/>
        <w:rPr>
          <w:rFonts w:cs="Arial"/>
          <w:szCs w:val="24"/>
        </w:rPr>
      </w:pPr>
      <w:r>
        <w:rPr>
          <w:rFonts w:cs="Arial"/>
          <w:szCs w:val="24"/>
        </w:rPr>
      </w:r>
    </w:p>
    <w:p>
      <w:pPr>
        <w:pStyle w:val="Normal"/>
        <w:jc w:val="center"/>
        <w:rPr>
          <w:rFonts w:cs="Arial"/>
          <w:szCs w:val="24"/>
        </w:rPr>
      </w:pPr>
      <w:r>
        <w:rPr>
          <w:rFonts w:cs="Arial"/>
          <w:szCs w:val="24"/>
        </w:rPr>
      </w:r>
    </w:p>
    <w:p>
      <w:pPr>
        <w:pStyle w:val="Normal"/>
        <w:jc w:val="center"/>
        <w:rPr>
          <w:rFonts w:cs="Arial"/>
          <w:szCs w:val="24"/>
        </w:rPr>
      </w:pPr>
      <w:r>
        <w:rPr>
          <w:rFonts w:cs="Arial"/>
          <w:szCs w:val="24"/>
        </w:rPr>
      </w:r>
    </w:p>
    <w:p>
      <w:pPr>
        <w:pStyle w:val="Normal"/>
        <w:jc w:val="center"/>
        <w:rPr>
          <w:rFonts w:cs="Arial"/>
          <w:szCs w:val="24"/>
        </w:rPr>
      </w:pPr>
      <w:r>
        <w:rPr>
          <w:rFonts w:cs="Arial"/>
          <w:szCs w:val="24"/>
        </w:rPr>
      </w:r>
    </w:p>
    <w:p>
      <w:pPr>
        <w:pStyle w:val="Normal"/>
        <w:jc w:val="center"/>
        <w:rPr>
          <w:rFonts w:cs="Arial"/>
          <w:szCs w:val="24"/>
        </w:rPr>
      </w:pPr>
      <w:r>
        <w:rPr>
          <w:rFonts w:cs="Arial"/>
          <w:szCs w:val="24"/>
        </w:rPr>
      </w:r>
    </w:p>
    <w:p>
      <w:pPr>
        <w:pStyle w:val="Normal"/>
        <w:jc w:val="center"/>
        <w:rPr>
          <w:rFonts w:cs="Arial"/>
          <w:szCs w:val="24"/>
        </w:rPr>
      </w:pPr>
      <w:r>
        <w:rPr>
          <w:rFonts w:cs="Arial"/>
          <w:szCs w:val="24"/>
        </w:rPr>
      </w:r>
    </w:p>
    <w:p>
      <w:pPr>
        <w:pStyle w:val="Normal"/>
        <w:jc w:val="center"/>
        <w:rPr>
          <w:rFonts w:cs="Arial"/>
          <w:szCs w:val="24"/>
        </w:rPr>
      </w:pPr>
      <w:r>
        <w:rPr>
          <w:rFonts w:cs="Arial"/>
          <w:szCs w:val="24"/>
        </w:rPr>
      </w:r>
    </w:p>
    <w:p>
      <w:pPr>
        <w:pStyle w:val="Normal"/>
        <w:jc w:val="center"/>
        <w:rPr>
          <w:rFonts w:cs="Arial"/>
          <w:b/>
          <w:b/>
          <w:bCs/>
          <w:szCs w:val="24"/>
        </w:rPr>
      </w:pPr>
      <w:r>
        <w:rPr>
          <w:rFonts w:cs="Arial"/>
          <w:b/>
          <w:bCs/>
          <w:szCs w:val="24"/>
        </w:rPr>
        <w:t>APLICAÇÃO DA NR-18 EM CANTEIROS DE OBRA: ESTUDOS DE CASOS EM OBRAS DE FUNDAÇÃO NA CIDADE DE GOIÂNIA/GO</w:t>
      </w:r>
    </w:p>
    <w:p>
      <w:pPr>
        <w:pStyle w:val="Normal"/>
        <w:jc w:val="center"/>
        <w:rPr>
          <w:rFonts w:cs="Arial"/>
          <w:szCs w:val="24"/>
        </w:rPr>
      </w:pPr>
      <w:r>
        <w:rPr>
          <w:rFonts w:cs="Arial"/>
          <w:szCs w:val="24"/>
        </w:rPr>
      </w:r>
    </w:p>
    <w:p>
      <w:pPr>
        <w:pStyle w:val="Normal"/>
        <w:jc w:val="center"/>
        <w:rPr>
          <w:rFonts w:cs="Arial"/>
          <w:szCs w:val="24"/>
        </w:rPr>
      </w:pPr>
      <w:r>
        <w:rPr>
          <w:rFonts w:cs="Arial"/>
          <w:szCs w:val="24"/>
        </w:rPr>
      </w:r>
    </w:p>
    <w:p>
      <w:pPr>
        <w:pStyle w:val="Normal"/>
        <w:jc w:val="center"/>
        <w:rPr>
          <w:rFonts w:cs="Arial"/>
          <w:szCs w:val="24"/>
        </w:rPr>
      </w:pPr>
      <w:r>
        <w:rPr>
          <w:rFonts w:cs="Arial"/>
          <w:szCs w:val="24"/>
        </w:rPr>
      </w:r>
    </w:p>
    <w:p>
      <w:pPr>
        <w:pStyle w:val="Normal"/>
        <w:jc w:val="center"/>
        <w:rPr>
          <w:rFonts w:cs="Arial"/>
          <w:szCs w:val="24"/>
        </w:rPr>
      </w:pPr>
      <w:r>
        <w:rPr>
          <w:rFonts w:cs="Arial"/>
          <w:szCs w:val="24"/>
        </w:rPr>
      </w:r>
    </w:p>
    <w:p>
      <w:pPr>
        <w:pStyle w:val="Normal"/>
        <w:jc w:val="center"/>
        <w:rPr>
          <w:rFonts w:cs="Arial"/>
          <w:szCs w:val="24"/>
        </w:rPr>
      </w:pPr>
      <w:r>
        <w:rPr>
          <w:rFonts w:cs="Arial"/>
          <w:szCs w:val="24"/>
        </w:rPr>
      </w:r>
    </w:p>
    <w:p>
      <w:pPr>
        <w:pStyle w:val="Normal"/>
        <w:jc w:val="center"/>
        <w:rPr>
          <w:rFonts w:cs="Arial"/>
          <w:szCs w:val="24"/>
        </w:rPr>
      </w:pPr>
      <w:r>
        <w:rPr>
          <w:rFonts w:cs="Arial"/>
          <w:szCs w:val="24"/>
        </w:rPr>
      </w:r>
    </w:p>
    <w:p>
      <w:pPr>
        <w:pStyle w:val="Normal"/>
        <w:jc w:val="center"/>
        <w:rPr>
          <w:rFonts w:cs="Arial"/>
          <w:szCs w:val="24"/>
        </w:rPr>
      </w:pPr>
      <w:r>
        <w:rPr>
          <w:rFonts w:cs="Arial"/>
          <w:szCs w:val="24"/>
        </w:rPr>
      </w:r>
    </w:p>
    <w:p>
      <w:pPr>
        <w:pStyle w:val="Normal"/>
        <w:ind w:left="4536" w:hanging="0"/>
        <w:rPr>
          <w:rFonts w:cs="Arial"/>
          <w:szCs w:val="24"/>
        </w:rPr>
      </w:pPr>
      <w:r>
        <w:rPr>
          <w:rFonts w:cs="Arial"/>
          <w:szCs w:val="24"/>
        </w:rPr>
        <w:t>Trabalho de Conclusão de Curso apresentado à Coordenação de Engenharia Civil, do Instituto Federal de Educação, Ciência e Tecnologia de Goiás, Campus Goiânia, como parte dos requisitos necessários para obtenção do título de Bacharel em Engenharia Civil.</w:t>
      </w:r>
    </w:p>
    <w:p>
      <w:pPr>
        <w:pStyle w:val="Normal"/>
        <w:ind w:left="4536" w:hanging="0"/>
        <w:rPr>
          <w:rFonts w:cs="Arial"/>
          <w:szCs w:val="24"/>
        </w:rPr>
      </w:pPr>
      <w:r>
        <w:rPr>
          <w:rFonts w:cs="Arial"/>
          <w:szCs w:val="24"/>
        </w:rPr>
      </w:r>
    </w:p>
    <w:p>
      <w:pPr>
        <w:pStyle w:val="Normal"/>
        <w:ind w:left="4536" w:hanging="0"/>
        <w:rPr>
          <w:rFonts w:cs="Arial"/>
          <w:szCs w:val="24"/>
        </w:rPr>
      </w:pPr>
      <w:r>
        <w:rPr>
          <w:rFonts w:cs="Arial"/>
          <w:szCs w:val="24"/>
        </w:rPr>
      </w:r>
    </w:p>
    <w:p>
      <w:pPr>
        <w:pStyle w:val="Normal"/>
        <w:ind w:left="4536" w:hanging="0"/>
        <w:rPr>
          <w:rFonts w:cs="Arial"/>
          <w:szCs w:val="24"/>
        </w:rPr>
      </w:pPr>
      <w:r>
        <w:rPr>
          <w:rFonts w:cs="Arial"/>
          <w:szCs w:val="24"/>
        </w:rPr>
      </w:r>
    </w:p>
    <w:p>
      <w:pPr>
        <w:pStyle w:val="Normal"/>
        <w:ind w:left="4536" w:hanging="0"/>
        <w:rPr>
          <w:rFonts w:cs="Arial"/>
          <w:szCs w:val="24"/>
        </w:rPr>
      </w:pPr>
      <w:r>
        <w:rPr>
          <w:rFonts w:cs="Arial"/>
          <w:szCs w:val="24"/>
        </w:rPr>
        <w:t xml:space="preserve">Orientador: Prof. Me. Humberto Rodrigues Mariano </w:t>
      </w:r>
    </w:p>
    <w:p>
      <w:pPr>
        <w:pStyle w:val="Normal"/>
        <w:ind w:left="4536" w:hanging="0"/>
        <w:rPr>
          <w:rFonts w:cs="Arial"/>
          <w:szCs w:val="24"/>
        </w:rPr>
      </w:pPr>
      <w:r>
        <w:rPr>
          <w:rFonts w:cs="Arial"/>
          <w:szCs w:val="24"/>
        </w:rPr>
      </w:r>
    </w:p>
    <w:p>
      <w:pPr>
        <w:pStyle w:val="Normal"/>
        <w:ind w:left="4536" w:hanging="0"/>
        <w:rPr>
          <w:rFonts w:cs="Arial"/>
          <w:szCs w:val="24"/>
        </w:rPr>
      </w:pPr>
      <w:r>
        <w:rPr>
          <w:rFonts w:cs="Arial"/>
          <w:szCs w:val="24"/>
        </w:rPr>
        <w:t>Coorientadora: Profa. Me. Marcela Leão Domiciano</w:t>
      </w:r>
    </w:p>
    <w:p>
      <w:pPr>
        <w:pStyle w:val="Normal"/>
        <w:ind w:left="4536" w:hanging="0"/>
        <w:rPr>
          <w:rFonts w:cs="Arial"/>
          <w:szCs w:val="24"/>
        </w:rPr>
      </w:pPr>
      <w:r>
        <w:rPr>
          <w:rFonts w:cs="Arial"/>
          <w:szCs w:val="24"/>
        </w:rPr>
      </w:r>
    </w:p>
    <w:p>
      <w:pPr>
        <w:pStyle w:val="Normal"/>
        <w:ind w:left="4536" w:hanging="0"/>
        <w:rPr>
          <w:rFonts w:cs="Arial"/>
          <w:szCs w:val="24"/>
        </w:rPr>
      </w:pPr>
      <w:r>
        <w:rPr>
          <w:rFonts w:cs="Arial"/>
          <w:szCs w:val="24"/>
        </w:rPr>
      </w:r>
    </w:p>
    <w:p>
      <w:pPr>
        <w:pStyle w:val="Normal"/>
        <w:ind w:left="4536" w:hanging="0"/>
        <w:rPr>
          <w:rFonts w:cs="Arial"/>
          <w:szCs w:val="24"/>
        </w:rPr>
      </w:pPr>
      <w:r>
        <w:rPr>
          <w:rFonts w:cs="Arial"/>
          <w:szCs w:val="24"/>
        </w:rPr>
      </w:r>
    </w:p>
    <w:p>
      <w:pPr>
        <w:pStyle w:val="Normal"/>
        <w:ind w:left="4536" w:hanging="0"/>
        <w:rPr>
          <w:rFonts w:cs="Arial"/>
          <w:szCs w:val="24"/>
        </w:rPr>
      </w:pPr>
      <w:r>
        <w:rPr>
          <w:rFonts w:cs="Arial"/>
          <w:szCs w:val="24"/>
        </w:rPr>
      </w:r>
    </w:p>
    <w:p>
      <w:pPr>
        <w:pStyle w:val="Normal"/>
        <w:ind w:left="4536" w:hanging="0"/>
        <w:rPr>
          <w:rFonts w:cs="Arial"/>
          <w:szCs w:val="24"/>
        </w:rPr>
      </w:pPr>
      <w:r>
        <w:rPr>
          <w:rFonts w:cs="Arial"/>
          <w:szCs w:val="24"/>
        </w:rPr>
      </w:r>
    </w:p>
    <w:p>
      <w:pPr>
        <w:pStyle w:val="Normal"/>
        <w:ind w:left="4536" w:hanging="0"/>
        <w:rPr>
          <w:rFonts w:cs="Arial"/>
          <w:szCs w:val="24"/>
        </w:rPr>
      </w:pPr>
      <w:r>
        <w:rPr>
          <w:rFonts w:cs="Arial"/>
          <w:szCs w:val="24"/>
        </w:rPr>
      </w:r>
    </w:p>
    <w:p>
      <w:pPr>
        <w:pStyle w:val="Normal"/>
        <w:ind w:left="4536" w:hanging="0"/>
        <w:rPr>
          <w:rFonts w:cs="Arial"/>
          <w:szCs w:val="24"/>
        </w:rPr>
      </w:pPr>
      <w:r>
        <w:rPr>
          <w:rFonts w:cs="Arial"/>
          <w:szCs w:val="24"/>
        </w:rPr>
      </w:r>
    </w:p>
    <w:p>
      <w:pPr>
        <w:pStyle w:val="Normal"/>
        <w:ind w:left="4536" w:hanging="0"/>
        <w:rPr>
          <w:rFonts w:cs="Arial"/>
          <w:szCs w:val="24"/>
        </w:rPr>
      </w:pPr>
      <w:r>
        <w:rPr>
          <w:rFonts w:cs="Arial"/>
          <w:szCs w:val="24"/>
        </w:rPr>
      </w:r>
    </w:p>
    <w:p>
      <w:pPr>
        <w:pStyle w:val="Normal"/>
        <w:ind w:left="4536" w:hanging="0"/>
        <w:rPr>
          <w:rFonts w:cs="Arial"/>
          <w:szCs w:val="24"/>
        </w:rPr>
      </w:pPr>
      <w:r>
        <w:rPr>
          <w:rFonts w:cs="Arial"/>
          <w:szCs w:val="24"/>
        </w:rPr>
      </w:r>
    </w:p>
    <w:p>
      <w:pPr>
        <w:pStyle w:val="Normal"/>
        <w:ind w:left="4536" w:hanging="0"/>
        <w:rPr>
          <w:rFonts w:cs="Arial"/>
          <w:szCs w:val="24"/>
        </w:rPr>
      </w:pPr>
      <w:r>
        <w:rPr>
          <w:rFonts w:cs="Arial"/>
          <w:szCs w:val="24"/>
        </w:rPr>
      </w:r>
    </w:p>
    <w:p>
      <w:pPr>
        <w:pStyle w:val="Normal"/>
        <w:ind w:left="4536" w:hanging="0"/>
        <w:rPr>
          <w:rFonts w:cs="Arial"/>
          <w:szCs w:val="24"/>
        </w:rPr>
      </w:pPr>
      <w:r>
        <w:rPr>
          <w:rFonts w:cs="Arial"/>
          <w:szCs w:val="24"/>
        </w:rPr>
      </w:r>
    </w:p>
    <w:p>
      <w:pPr>
        <w:pStyle w:val="Normal"/>
        <w:ind w:left="4536" w:hanging="0"/>
        <w:rPr>
          <w:rFonts w:cs="Arial"/>
          <w:szCs w:val="24"/>
        </w:rPr>
      </w:pPr>
      <w:r>
        <w:rPr>
          <w:rFonts w:cs="Arial"/>
          <w:szCs w:val="24"/>
        </w:rPr>
      </w:r>
    </w:p>
    <w:p>
      <w:pPr>
        <w:pStyle w:val="Normal"/>
        <w:ind w:left="4536" w:hanging="0"/>
        <w:rPr>
          <w:rFonts w:cs="Arial"/>
          <w:szCs w:val="24"/>
        </w:rPr>
      </w:pPr>
      <w:r>
        <w:rPr>
          <w:rFonts w:cs="Arial"/>
          <w:szCs w:val="24"/>
        </w:rPr>
      </w:r>
    </w:p>
    <w:p>
      <w:pPr>
        <w:pStyle w:val="Normal"/>
        <w:ind w:left="4536" w:hanging="0"/>
        <w:rPr>
          <w:rFonts w:cs="Arial"/>
          <w:szCs w:val="24"/>
        </w:rPr>
      </w:pPr>
      <w:r>
        <w:rPr>
          <w:rFonts w:cs="Arial"/>
          <w:szCs w:val="24"/>
        </w:rPr>
      </w:r>
    </w:p>
    <w:p>
      <w:pPr>
        <w:pStyle w:val="Normal"/>
        <w:rPr>
          <w:rFonts w:cs="Arial"/>
          <w:szCs w:val="24"/>
        </w:rPr>
      </w:pPr>
      <w:r>
        <w:rPr>
          <w:rFonts w:cs="Arial"/>
          <w:szCs w:val="24"/>
        </w:rPr>
      </w:r>
    </w:p>
    <w:p>
      <w:pPr>
        <w:pStyle w:val="Normal"/>
        <w:ind w:left="4536" w:hanging="0"/>
        <w:rPr>
          <w:rFonts w:cs="Arial"/>
          <w:b/>
          <w:b/>
          <w:bCs/>
          <w:szCs w:val="24"/>
        </w:rPr>
      </w:pPr>
      <w:r>
        <w:rPr>
          <w:rFonts w:cs="Arial"/>
          <w:b/>
          <w:bCs/>
          <w:szCs w:val="24"/>
        </w:rPr>
      </w:r>
    </w:p>
    <w:p>
      <w:pPr>
        <w:pStyle w:val="Normal"/>
        <w:spacing w:lineRule="auto" w:line="360"/>
        <w:jc w:val="center"/>
        <w:rPr>
          <w:rFonts w:cs="Arial"/>
          <w:szCs w:val="24"/>
        </w:rPr>
      </w:pPr>
      <w:r>
        <w:rPr>
          <w:rFonts w:cs="Arial"/>
          <w:szCs w:val="24"/>
        </w:rPr>
        <w:t>Goiânia, GO</w:t>
      </w:r>
    </w:p>
    <w:p>
      <w:pPr>
        <w:sectPr>
          <w:headerReference w:type="default" r:id="rId4"/>
          <w:type w:val="nextPage"/>
          <w:pgSz w:w="11906" w:h="16838"/>
          <w:pgMar w:left="1701" w:right="1134" w:header="709" w:top="1701" w:footer="0" w:bottom="1134" w:gutter="0"/>
          <w:pgNumType w:fmt="decimal"/>
          <w:formProt w:val="false"/>
          <w:textDirection w:val="lrTb"/>
          <w:docGrid w:type="default" w:linePitch="360" w:charSpace="0"/>
        </w:sectPr>
        <w:pStyle w:val="Normal"/>
        <w:spacing w:lineRule="auto" w:line="360"/>
        <w:jc w:val="center"/>
        <w:rPr>
          <w:rFonts w:cs="Arial"/>
          <w:szCs w:val="24"/>
        </w:rPr>
      </w:pPr>
      <w:r>
        <w:rPr>
          <w:rFonts w:cs="Arial"/>
          <w:szCs w:val="24"/>
        </w:rPr>
        <w:t>2023</w:t>
      </w:r>
    </w:p>
    <w:p>
      <w:pPr>
        <w:pStyle w:val="Normal"/>
        <w:rPr/>
      </w:pPr>
      <w:r>
        <w:rPr/>
      </w:r>
    </w:p>
    <w:p>
      <w:pPr>
        <w:pStyle w:val="Normal"/>
        <w:rPr/>
      </w:pPr>
      <w:r>
        <w:rPr/>
      </w:r>
    </w:p>
    <w:p>
      <w:pPr>
        <w:pStyle w:val="Normal"/>
        <w:rPr/>
      </w:pPr>
      <w:r>
        <w:rPr/>
      </w:r>
    </w:p>
    <w:p>
      <w:pPr>
        <w:pStyle w:val="Normal"/>
        <w:spacing w:lineRule="auto" w:line="360"/>
        <w:rPr>
          <w:rFonts w:cs="Arial"/>
          <w:b/>
          <w:b/>
          <w:bCs/>
          <w:szCs w:val="24"/>
        </w:rPr>
      </w:pPr>
      <w:r>
        <w:rPr>
          <w:rFonts w:cs="Arial"/>
          <w:b/>
          <w:bCs/>
          <w:szCs w:val="24"/>
        </w:rPr>
      </w:r>
    </w:p>
    <w:p>
      <w:pPr>
        <w:pStyle w:val="Normal"/>
        <w:spacing w:lineRule="auto" w:line="360"/>
        <w:jc w:val="center"/>
        <w:rPr>
          <w:rFonts w:cs="Arial"/>
          <w:b/>
          <w:b/>
          <w:bCs/>
          <w:szCs w:val="24"/>
        </w:rPr>
      </w:pPr>
      <w:r>
        <w:rPr>
          <w:rFonts w:cs="Arial"/>
          <w:b/>
          <w:bCs/>
          <w:szCs w:val="24"/>
        </w:rPr>
      </w:r>
    </w:p>
    <w:p>
      <w:pPr>
        <w:pStyle w:val="Normal"/>
        <w:spacing w:lineRule="auto" w:line="360"/>
        <w:jc w:val="center"/>
        <w:rPr>
          <w:rFonts w:cs="Arial"/>
          <w:b/>
          <w:b/>
          <w:bCs/>
          <w:szCs w:val="24"/>
        </w:rPr>
      </w:pPr>
      <w:r>
        <w:rPr>
          <w:rFonts w:cs="Arial"/>
          <w:b/>
          <w:bCs/>
          <w:szCs w:val="24"/>
        </w:rPr>
      </w:r>
    </w:p>
    <w:p>
      <w:pPr>
        <w:pStyle w:val="Normal"/>
        <w:suppressAutoHyphens w:val="true"/>
        <w:jc w:val="left"/>
        <w:rPr>
          <w:rFonts w:ascii="Times New Roman" w:hAnsi="Times New Roman" w:eastAsia="Times New Roman" w:cs="Times New Roman"/>
          <w:sz w:val="20"/>
          <w:szCs w:val="20"/>
          <w:lang w:eastAsia="zh-CN"/>
        </w:rPr>
      </w:pPr>
      <w:r>
        <w:rPr>
          <w:rFonts w:eastAsia="Times New Roman" w:cs="Times New Roman" w:ascii="Times New Roman" w:hAnsi="Times New Roman"/>
          <w:sz w:val="20"/>
          <w:szCs w:val="20"/>
          <w:lang w:eastAsia="zh-CN"/>
        </w:rPr>
      </w:r>
    </w:p>
    <w:p>
      <w:pPr>
        <w:pStyle w:val="Normal"/>
        <w:suppressAutoHyphens w:val="true"/>
        <w:jc w:val="left"/>
        <w:rPr>
          <w:rFonts w:ascii="Times New Roman" w:hAnsi="Times New Roman" w:eastAsia="Times New Roman" w:cs="Times New Roman"/>
          <w:sz w:val="20"/>
          <w:szCs w:val="20"/>
          <w:lang w:eastAsia="zh-CN"/>
        </w:rPr>
      </w:pPr>
      <w:r>
        <w:rPr>
          <w:rFonts w:eastAsia="Times New Roman" w:cs="Times New Roman" w:ascii="Times New Roman" w:hAnsi="Times New Roman"/>
          <w:sz w:val="20"/>
          <w:szCs w:val="20"/>
          <w:lang w:eastAsia="zh-CN"/>
        </w:rPr>
      </w:r>
    </w:p>
    <w:p>
      <w:pPr>
        <w:pStyle w:val="Normal"/>
        <w:suppressAutoHyphens w:val="true"/>
        <w:jc w:val="left"/>
        <w:rPr>
          <w:rFonts w:ascii="Times New Roman" w:hAnsi="Times New Roman" w:eastAsia="Times New Roman" w:cs="Times New Roman"/>
          <w:sz w:val="20"/>
          <w:szCs w:val="20"/>
          <w:lang w:eastAsia="zh-CN"/>
        </w:rPr>
      </w:pPr>
      <w:r>
        <w:rPr>
          <w:rFonts w:eastAsia="Times New Roman" w:cs="Times New Roman" w:ascii="Times New Roman" w:hAnsi="Times New Roman"/>
          <w:sz w:val="20"/>
          <w:szCs w:val="20"/>
          <w:lang w:eastAsia="zh-CN"/>
        </w:rPr>
      </w:r>
    </w:p>
    <w:p>
      <w:pPr>
        <w:pStyle w:val="Normal"/>
        <w:suppressAutoHyphens w:val="true"/>
        <w:jc w:val="left"/>
        <w:rPr>
          <w:rFonts w:ascii="Times New Roman" w:hAnsi="Times New Roman" w:eastAsia="Times New Roman" w:cs="Times New Roman"/>
          <w:sz w:val="20"/>
          <w:szCs w:val="20"/>
          <w:lang w:eastAsia="zh-CN"/>
        </w:rPr>
      </w:pPr>
      <w:r>
        <w:rPr>
          <w:rFonts w:eastAsia="Times New Roman" w:cs="Times New Roman" w:ascii="Times New Roman" w:hAnsi="Times New Roman"/>
          <w:sz w:val="20"/>
          <w:szCs w:val="20"/>
          <w:lang w:eastAsia="zh-CN"/>
        </w:rPr>
      </w:r>
    </w:p>
    <w:p>
      <w:pPr>
        <w:pStyle w:val="Normal"/>
        <w:suppressAutoHyphens w:val="true"/>
        <w:jc w:val="left"/>
        <w:rPr>
          <w:rFonts w:ascii="Times New Roman" w:hAnsi="Times New Roman" w:eastAsia="Times New Roman" w:cs="Times New Roman"/>
          <w:sz w:val="20"/>
          <w:szCs w:val="20"/>
          <w:lang w:eastAsia="zh-CN"/>
        </w:rPr>
      </w:pPr>
      <w:r>
        <w:rPr>
          <w:rFonts w:eastAsia="Times New Roman" w:cs="Times New Roman" w:ascii="Times New Roman" w:hAnsi="Times New Roman"/>
          <w:sz w:val="20"/>
          <w:szCs w:val="20"/>
          <w:lang w:eastAsia="zh-CN"/>
        </w:rPr>
      </w:r>
    </w:p>
    <w:p>
      <w:pPr>
        <w:pStyle w:val="Normal"/>
        <w:suppressAutoHyphens w:val="true"/>
        <w:jc w:val="left"/>
        <w:rPr>
          <w:rFonts w:ascii="Times New Roman" w:hAnsi="Times New Roman" w:eastAsia="Times New Roman" w:cs="Times New Roman"/>
          <w:sz w:val="20"/>
          <w:szCs w:val="20"/>
          <w:lang w:eastAsia="zh-CN"/>
        </w:rPr>
      </w:pPr>
      <w:r>
        <w:rPr>
          <w:rFonts w:eastAsia="Times New Roman" w:cs="Times New Roman" w:ascii="Times New Roman" w:hAnsi="Times New Roman"/>
          <w:sz w:val="20"/>
          <w:szCs w:val="20"/>
          <w:lang w:eastAsia="zh-CN"/>
        </w:rPr>
      </w:r>
    </w:p>
    <w:p>
      <w:pPr>
        <w:pStyle w:val="Normal"/>
        <w:suppressAutoHyphens w:val="true"/>
        <w:jc w:val="left"/>
        <w:rPr>
          <w:rFonts w:ascii="Times New Roman" w:hAnsi="Times New Roman" w:eastAsia="Times New Roman" w:cs="Times New Roman"/>
          <w:sz w:val="20"/>
          <w:szCs w:val="20"/>
          <w:lang w:eastAsia="zh-CN"/>
        </w:rPr>
      </w:pPr>
      <w:r>
        <w:rPr>
          <w:rFonts w:eastAsia="Times New Roman" w:cs="Times New Roman" w:ascii="Times New Roman" w:hAnsi="Times New Roman"/>
          <w:sz w:val="20"/>
          <w:szCs w:val="20"/>
          <w:lang w:eastAsia="zh-CN"/>
        </w:rPr>
      </w:r>
    </w:p>
    <w:p>
      <w:pPr>
        <w:pStyle w:val="Normal"/>
        <w:suppressAutoHyphens w:val="true"/>
        <w:jc w:val="left"/>
        <w:rPr>
          <w:rFonts w:ascii="Times New Roman" w:hAnsi="Times New Roman" w:eastAsia="Times New Roman" w:cs="Times New Roman"/>
          <w:sz w:val="20"/>
          <w:szCs w:val="20"/>
          <w:lang w:eastAsia="zh-CN"/>
        </w:rPr>
      </w:pPr>
      <w:r>
        <w:rPr>
          <w:rFonts w:eastAsia="Times New Roman" w:cs="Times New Roman" w:ascii="Times New Roman" w:hAnsi="Times New Roman"/>
          <w:sz w:val="20"/>
          <w:szCs w:val="20"/>
          <w:lang w:eastAsia="zh-CN"/>
        </w:rPr>
      </w:r>
    </w:p>
    <w:p>
      <w:pPr>
        <w:pStyle w:val="Normal"/>
        <w:suppressAutoHyphens w:val="true"/>
        <w:jc w:val="left"/>
        <w:rPr>
          <w:rFonts w:ascii="Times New Roman" w:hAnsi="Times New Roman" w:eastAsia="Times New Roman" w:cs="Times New Roman"/>
          <w:sz w:val="20"/>
          <w:szCs w:val="20"/>
          <w:lang w:eastAsia="zh-CN"/>
        </w:rPr>
      </w:pPr>
      <w:r>
        <w:rPr>
          <w:rFonts w:eastAsia="Times New Roman" w:cs="Times New Roman" w:ascii="Times New Roman" w:hAnsi="Times New Roman"/>
          <w:sz w:val="20"/>
          <w:szCs w:val="20"/>
          <w:lang w:eastAsia="zh-CN"/>
        </w:rPr>
      </w:r>
    </w:p>
    <w:p>
      <w:pPr>
        <w:pStyle w:val="Normal"/>
        <w:suppressAutoHyphens w:val="true"/>
        <w:jc w:val="left"/>
        <w:rPr>
          <w:rFonts w:ascii="Times New Roman" w:hAnsi="Times New Roman" w:eastAsia="Times New Roman" w:cs="Times New Roman"/>
          <w:sz w:val="20"/>
          <w:szCs w:val="20"/>
          <w:lang w:eastAsia="zh-CN"/>
        </w:rPr>
      </w:pPr>
      <w:r>
        <w:rPr>
          <w:rFonts w:eastAsia="Times New Roman" w:cs="Times New Roman" w:ascii="Times New Roman" w:hAnsi="Times New Roman"/>
          <w:sz w:val="20"/>
          <w:szCs w:val="20"/>
          <w:lang w:eastAsia="zh-CN"/>
        </w:rPr>
      </w:r>
    </w:p>
    <w:p>
      <w:pPr>
        <w:pStyle w:val="Normal"/>
        <w:suppressAutoHyphens w:val="true"/>
        <w:jc w:val="left"/>
        <w:rPr>
          <w:rFonts w:ascii="Times New Roman" w:hAnsi="Times New Roman" w:eastAsia="Times New Roman" w:cs="Times New Roman"/>
          <w:sz w:val="20"/>
          <w:szCs w:val="20"/>
          <w:lang w:eastAsia="zh-CN"/>
        </w:rPr>
      </w:pPr>
      <w:r>
        <w:rPr>
          <w:rFonts w:eastAsia="Times New Roman" w:cs="Times New Roman" w:ascii="Times New Roman" w:hAnsi="Times New Roman"/>
          <w:sz w:val="20"/>
          <w:szCs w:val="20"/>
          <w:lang w:eastAsia="zh-CN"/>
        </w:rPr>
      </w:r>
    </w:p>
    <w:p>
      <w:pPr>
        <w:pStyle w:val="Normal"/>
        <w:suppressAutoHyphens w:val="true"/>
        <w:jc w:val="left"/>
        <w:rPr>
          <w:rFonts w:ascii="Times New Roman" w:hAnsi="Times New Roman" w:eastAsia="Times New Roman" w:cs="Times New Roman"/>
          <w:sz w:val="20"/>
          <w:szCs w:val="20"/>
          <w:lang w:eastAsia="zh-CN"/>
        </w:rPr>
      </w:pPr>
      <w:r>
        <w:rPr>
          <w:rFonts w:eastAsia="Times New Roman" w:cs="Times New Roman" w:ascii="Times New Roman" w:hAnsi="Times New Roman"/>
          <w:sz w:val="20"/>
          <w:szCs w:val="20"/>
          <w:lang w:eastAsia="zh-CN"/>
        </w:rPr>
      </w:r>
    </w:p>
    <w:p>
      <w:pPr>
        <w:pStyle w:val="Normal"/>
        <w:suppressAutoHyphens w:val="true"/>
        <w:jc w:val="left"/>
        <w:rPr>
          <w:rFonts w:ascii="Times New Roman" w:hAnsi="Times New Roman" w:eastAsia="Times New Roman" w:cs="Times New Roman"/>
          <w:sz w:val="20"/>
          <w:szCs w:val="20"/>
          <w:lang w:eastAsia="zh-CN"/>
        </w:rPr>
      </w:pPr>
      <w:r>
        <w:rPr>
          <w:rFonts w:eastAsia="Times New Roman" w:cs="Times New Roman" w:ascii="Times New Roman" w:hAnsi="Times New Roman"/>
          <w:sz w:val="20"/>
          <w:szCs w:val="20"/>
          <w:lang w:eastAsia="zh-CN"/>
        </w:rPr>
      </w:r>
    </w:p>
    <w:p>
      <w:pPr>
        <w:pStyle w:val="Normal"/>
        <w:suppressAutoHyphens w:val="true"/>
        <w:jc w:val="left"/>
        <w:rPr>
          <w:rFonts w:ascii="Times New Roman" w:hAnsi="Times New Roman" w:eastAsia="Times New Roman" w:cs="Times New Roman"/>
          <w:sz w:val="20"/>
          <w:szCs w:val="20"/>
          <w:lang w:eastAsia="zh-CN"/>
        </w:rPr>
      </w:pPr>
      <w:r>
        <w:rPr>
          <w:rFonts w:eastAsia="Times New Roman" w:cs="Times New Roman" w:ascii="Times New Roman" w:hAnsi="Times New Roman"/>
          <w:sz w:val="20"/>
          <w:szCs w:val="20"/>
          <w:lang w:eastAsia="zh-CN"/>
        </w:rPr>
      </w:r>
    </w:p>
    <w:p>
      <w:pPr>
        <w:pStyle w:val="Normal"/>
        <w:suppressAutoHyphens w:val="true"/>
        <w:jc w:val="left"/>
        <w:rPr>
          <w:rFonts w:ascii="Times New Roman" w:hAnsi="Times New Roman" w:eastAsia="Times New Roman" w:cs="Times New Roman"/>
          <w:sz w:val="20"/>
          <w:szCs w:val="20"/>
          <w:lang w:eastAsia="zh-CN"/>
        </w:rPr>
      </w:pPr>
      <w:r>
        <w:rPr>
          <w:rFonts w:eastAsia="Times New Roman" w:cs="Times New Roman" w:ascii="Times New Roman" w:hAnsi="Times New Roman"/>
          <w:sz w:val="20"/>
          <w:szCs w:val="20"/>
          <w:lang w:eastAsia="zh-CN"/>
        </w:rPr>
      </w:r>
    </w:p>
    <w:p>
      <w:pPr>
        <w:pStyle w:val="Normal"/>
        <w:suppressAutoHyphens w:val="true"/>
        <w:jc w:val="left"/>
        <w:rPr>
          <w:rFonts w:ascii="Times New Roman" w:hAnsi="Times New Roman" w:eastAsia="Times New Roman" w:cs="Times New Roman"/>
          <w:sz w:val="20"/>
          <w:szCs w:val="20"/>
          <w:lang w:eastAsia="zh-CN"/>
        </w:rPr>
      </w:pPr>
      <w:r>
        <w:rPr>
          <w:rFonts w:eastAsia="Times New Roman" w:cs="Times New Roman" w:ascii="Times New Roman" w:hAnsi="Times New Roman"/>
          <w:sz w:val="20"/>
          <w:szCs w:val="20"/>
          <w:lang w:eastAsia="zh-CN"/>
        </w:rPr>
      </w:r>
    </w:p>
    <w:p>
      <w:pPr>
        <w:pStyle w:val="Normal"/>
        <w:suppressAutoHyphens w:val="true"/>
        <w:jc w:val="left"/>
        <w:rPr>
          <w:rFonts w:ascii="Times New Roman" w:hAnsi="Times New Roman" w:eastAsia="Times New Roman" w:cs="Times New Roman"/>
          <w:sz w:val="20"/>
          <w:szCs w:val="20"/>
          <w:lang w:eastAsia="zh-CN"/>
        </w:rPr>
      </w:pPr>
      <w:r>
        <w:rPr>
          <w:rFonts w:eastAsia="Times New Roman" w:cs="Times New Roman" w:ascii="Times New Roman" w:hAnsi="Times New Roman"/>
          <w:sz w:val="20"/>
          <w:szCs w:val="20"/>
          <w:lang w:eastAsia="zh-CN"/>
        </w:rPr>
      </w:r>
    </w:p>
    <w:p>
      <w:pPr>
        <w:pStyle w:val="Normal"/>
        <w:suppressAutoHyphens w:val="true"/>
        <w:jc w:val="left"/>
        <w:rPr>
          <w:rFonts w:ascii="Times New Roman" w:hAnsi="Times New Roman" w:eastAsia="Times New Roman" w:cs="Times New Roman"/>
          <w:sz w:val="20"/>
          <w:szCs w:val="20"/>
          <w:lang w:eastAsia="zh-CN"/>
        </w:rPr>
      </w:pPr>
      <w:r>
        <w:rPr>
          <w:rFonts w:eastAsia="Times New Roman" w:cs="Times New Roman" w:ascii="Times New Roman" w:hAnsi="Times New Roman"/>
          <w:sz w:val="20"/>
          <w:szCs w:val="20"/>
          <w:lang w:eastAsia="zh-CN"/>
        </w:rPr>
      </w:r>
    </w:p>
    <w:p>
      <w:pPr>
        <w:pStyle w:val="Normal"/>
        <w:suppressAutoHyphens w:val="true"/>
        <w:jc w:val="left"/>
        <w:rPr>
          <w:rFonts w:ascii="Times New Roman" w:hAnsi="Times New Roman" w:eastAsia="Times New Roman" w:cs="Times New Roman"/>
          <w:sz w:val="20"/>
          <w:szCs w:val="20"/>
          <w:lang w:eastAsia="zh-CN"/>
        </w:rPr>
      </w:pPr>
      <w:r>
        <w:rPr>
          <w:rFonts w:eastAsia="Times New Roman" w:cs="Times New Roman" w:ascii="Times New Roman" w:hAnsi="Times New Roman"/>
          <w:sz w:val="20"/>
          <w:szCs w:val="20"/>
          <w:lang w:eastAsia="zh-CN"/>
        </w:rPr>
        <mc:AlternateContent>
          <mc:Choice Requires="wps">
            <w:drawing>
              <wp:anchor behindDoc="0" distT="0" distB="0" distL="0" distR="0" simplePos="0" locked="0" layoutInCell="1" allowOverlap="1" relativeHeight="4" wp14:anchorId="42638C02">
                <wp:simplePos x="0" y="0"/>
                <wp:positionH relativeFrom="margin">
                  <wp:align>center</wp:align>
                </wp:positionH>
                <wp:positionV relativeFrom="paragraph">
                  <wp:posOffset>10795</wp:posOffset>
                </wp:positionV>
                <wp:extent cx="4558665" cy="2901315"/>
                <wp:effectExtent l="0" t="0" r="13970" b="13970"/>
                <wp:wrapNone/>
                <wp:docPr id="5" name="Caixa de Texto 5"/>
                <a:graphic xmlns:a="http://schemas.openxmlformats.org/drawingml/2006/main">
                  <a:graphicData uri="http://schemas.microsoft.com/office/word/2010/wordprocessingShape">
                    <wps:wsp>
                      <wps:cNvSpPr/>
                      <wps:spPr>
                        <a:xfrm>
                          <a:off x="0" y="0"/>
                          <a:ext cx="4557960" cy="2900520"/>
                        </a:xfrm>
                        <a:prstGeom prst="rect">
                          <a:avLst/>
                        </a:prstGeom>
                        <a:solidFill>
                          <a:srgbClr val="ffffff"/>
                        </a:solidFill>
                        <a:ln w="6480">
                          <a:solidFill>
                            <a:srgbClr val="000000"/>
                          </a:solidFill>
                          <a:miter/>
                        </a:ln>
                      </wps:spPr>
                      <wps:style>
                        <a:lnRef idx="0"/>
                        <a:fillRef idx="0"/>
                        <a:effectRef idx="0"/>
                        <a:fontRef idx="minor"/>
                      </wps:style>
                      <wps:txbx>
                        <w:txbxContent>
                          <w:p>
                            <w:pPr>
                              <w:pStyle w:val="Contedodoquadro"/>
                              <w:rPr>
                                <w:sz w:val="16"/>
                                <w:szCs w:val="18"/>
                              </w:rPr>
                            </w:pPr>
                            <w:r>
                              <w:rPr>
                                <w:sz w:val="16"/>
                                <w:szCs w:val="18"/>
                              </w:rPr>
                            </w:r>
                          </w:p>
                          <w:p>
                            <w:pPr>
                              <w:pStyle w:val="Contedodoquadro"/>
                              <w:rPr>
                                <w:sz w:val="16"/>
                                <w:szCs w:val="18"/>
                              </w:rPr>
                            </w:pPr>
                            <w:r>
                              <w:rPr>
                                <w:sz w:val="16"/>
                                <w:szCs w:val="18"/>
                              </w:rPr>
                            </w:r>
                          </w:p>
                          <w:p>
                            <w:pPr>
                              <w:pStyle w:val="Contedodoquadro"/>
                              <w:ind w:left="-142" w:hanging="0"/>
                              <w:rPr>
                                <w:rFonts w:ascii="Times New Roman" w:hAnsi="Times New Roman" w:cs="Times New Roman"/>
                              </w:rPr>
                            </w:pPr>
                            <w:r>
                              <w:rPr>
                                <w:sz w:val="16"/>
                                <w:szCs w:val="18"/>
                              </w:rPr>
                              <w:t xml:space="preserve">  </w:t>
                            </w:r>
                            <w:r>
                              <w:rPr>
                                <w:rFonts w:cs="Times New Roman" w:ascii="Times New Roman" w:hAnsi="Times New Roman"/>
                                <w:sz w:val="16"/>
                                <w:szCs w:val="18"/>
                              </w:rPr>
                              <w:t xml:space="preserve">P149a  Paiva, Matteus Mesquita.             </w:t>
                            </w:r>
                            <w:r>
                              <w:rPr>
                                <w:rFonts w:cs="Times New Roman" w:ascii="Times New Roman" w:hAnsi="Times New Roman"/>
                                <w:bCs/>
                                <w:sz w:val="16"/>
                                <w:szCs w:val="18"/>
                              </w:rPr>
                              <w:t xml:space="preserve">   </w:t>
                            </w:r>
                            <w:r>
                              <w:rPr>
                                <w:rFonts w:cs="Times New Roman" w:ascii="Times New Roman" w:hAnsi="Times New Roman"/>
                                <w:sz w:val="16"/>
                                <w:szCs w:val="18"/>
                              </w:rPr>
                              <w:t xml:space="preserve">   </w:t>
                            </w:r>
                          </w:p>
                          <w:p>
                            <w:pPr>
                              <w:pStyle w:val="Contedodoquadro"/>
                              <w:tabs>
                                <w:tab w:val="clear" w:pos="708"/>
                                <w:tab w:val="left" w:pos="568" w:leader="none"/>
                                <w:tab w:val="left" w:pos="7640" w:leader="none"/>
                              </w:tabs>
                              <w:suppressAutoHyphens w:val="true"/>
                              <w:ind w:left="454" w:firstLine="113"/>
                              <w:rPr>
                                <w:rFonts w:ascii="Times New Roman" w:hAnsi="Times New Roman" w:cs="Times New Roman"/>
                              </w:rPr>
                            </w:pPr>
                            <w:r>
                              <w:rPr>
                                <w:rFonts w:cs="Times New Roman" w:ascii="Times New Roman" w:hAnsi="Times New Roman"/>
                                <w:sz w:val="16"/>
                                <w:szCs w:val="18"/>
                              </w:rPr>
                              <w:t xml:space="preserve"> </w:t>
                            </w:r>
                            <w:r>
                              <w:rPr>
                                <w:rFonts w:cs="Times New Roman" w:ascii="Times New Roman" w:hAnsi="Times New Roman"/>
                                <w:sz w:val="16"/>
                                <w:szCs w:val="18"/>
                              </w:rPr>
                              <w:t>Aplicação da NR-18 em canteiros de obra: estudos de caso em obras de fundação na cidade de Goiânia/GO / Matteus Mesquita Paiva. – Goiânia : Instituto Federal de Educação, Ciência e Tecnologia de Goiás, 2023.</w:t>
                            </w:r>
                          </w:p>
                          <w:p>
                            <w:pPr>
                              <w:pStyle w:val="Contedodoquadro"/>
                              <w:tabs>
                                <w:tab w:val="clear" w:pos="708"/>
                                <w:tab w:val="left" w:pos="795" w:leader="none"/>
                                <w:tab w:val="left" w:pos="7640" w:leader="none"/>
                              </w:tabs>
                              <w:ind w:left="426" w:hanging="0"/>
                              <w:rPr>
                                <w:rFonts w:ascii="Times New Roman" w:hAnsi="Times New Roman" w:cs="Times New Roman"/>
                              </w:rPr>
                            </w:pPr>
                            <w:r>
                              <w:rPr>
                                <w:rFonts w:cs="Times New Roman" w:ascii="Times New Roman" w:hAnsi="Times New Roman"/>
                                <w:sz w:val="16"/>
                                <w:szCs w:val="18"/>
                              </w:rPr>
                              <w:t xml:space="preserve">     </w:t>
                            </w:r>
                            <w:r>
                              <w:rPr>
                                <w:rFonts w:cs="Times New Roman" w:ascii="Times New Roman" w:hAnsi="Times New Roman"/>
                                <w:sz w:val="16"/>
                                <w:szCs w:val="18"/>
                              </w:rPr>
                              <w:t>114f. ; il.</w:t>
                            </w:r>
                          </w:p>
                          <w:p>
                            <w:pPr>
                              <w:pStyle w:val="Contedodoquadro"/>
                              <w:ind w:left="1085" w:hanging="0"/>
                              <w:rPr>
                                <w:rFonts w:ascii="Times New Roman" w:hAnsi="Times New Roman" w:cs="Times New Roman"/>
                              </w:rPr>
                            </w:pPr>
                            <w:r>
                              <w:rPr>
                                <w:rFonts w:cs="Times New Roman" w:ascii="Times New Roman" w:hAnsi="Times New Roman"/>
                                <w:sz w:val="16"/>
                                <w:szCs w:val="18"/>
                              </w:rPr>
                              <w:t xml:space="preserve">        </w:t>
                            </w:r>
                          </w:p>
                          <w:p>
                            <w:pPr>
                              <w:pStyle w:val="Contedodoquadro"/>
                              <w:tabs>
                                <w:tab w:val="clear" w:pos="708"/>
                                <w:tab w:val="left" w:pos="709" w:leader="none"/>
                              </w:tabs>
                              <w:ind w:left="426" w:hanging="0"/>
                              <w:rPr>
                                <w:rFonts w:ascii="Times New Roman" w:hAnsi="Times New Roman" w:cs="Times New Roman"/>
                              </w:rPr>
                            </w:pPr>
                            <w:r>
                              <w:rPr>
                                <w:rFonts w:cs="Times New Roman" w:ascii="Times New Roman" w:hAnsi="Times New Roman"/>
                                <w:sz w:val="16"/>
                                <w:szCs w:val="18"/>
                              </w:rPr>
                              <w:t xml:space="preserve">     </w:t>
                            </w:r>
                            <w:r>
                              <w:rPr>
                                <w:rFonts w:cs="Times New Roman" w:ascii="Times New Roman" w:hAnsi="Times New Roman"/>
                                <w:sz w:val="16"/>
                                <w:szCs w:val="18"/>
                              </w:rPr>
                              <w:t>Orientação</w:t>
                            </w:r>
                            <w:r>
                              <w:rPr>
                                <w:rFonts w:cs="Times New Roman" w:ascii="Times New Roman" w:hAnsi="Times New Roman"/>
                                <w:sz w:val="16"/>
                                <w:szCs w:val="16"/>
                              </w:rPr>
                              <w:t xml:space="preserve">: Prof. Me. Humberto Rodrigues Mariano. </w:t>
                            </w:r>
                          </w:p>
                          <w:p>
                            <w:pPr>
                              <w:pStyle w:val="Contedodoquadro"/>
                              <w:tabs>
                                <w:tab w:val="clear" w:pos="708"/>
                                <w:tab w:val="left" w:pos="709" w:leader="none"/>
                              </w:tabs>
                              <w:ind w:left="426" w:hanging="0"/>
                              <w:rPr>
                                <w:rFonts w:ascii="Times New Roman" w:hAnsi="Times New Roman" w:cs="Times New Roman"/>
                              </w:rPr>
                            </w:pPr>
                            <w:r>
                              <w:rPr>
                                <w:rFonts w:cs="Times New Roman" w:ascii="Times New Roman" w:hAnsi="Times New Roman"/>
                                <w:sz w:val="16"/>
                                <w:szCs w:val="16"/>
                              </w:rPr>
                              <w:t xml:space="preserve">     </w:t>
                            </w:r>
                            <w:r>
                              <w:rPr>
                                <w:rFonts w:cs="Times New Roman" w:ascii="Times New Roman" w:hAnsi="Times New Roman"/>
                                <w:sz w:val="16"/>
                                <w:szCs w:val="16"/>
                              </w:rPr>
                              <w:t xml:space="preserve">Coorientação: Profa. Me. Marcela Leão Domiciano.          </w:t>
                            </w:r>
                            <w:r>
                              <w:rPr>
                                <w:rFonts w:cs="Times New Roman" w:ascii="Times New Roman" w:hAnsi="Times New Roman"/>
                                <w:sz w:val="16"/>
                                <w:szCs w:val="18"/>
                              </w:rPr>
                              <w:t xml:space="preserve"> </w:t>
                            </w:r>
                          </w:p>
                          <w:p>
                            <w:pPr>
                              <w:pStyle w:val="Contedodoquadro"/>
                              <w:tabs>
                                <w:tab w:val="clear" w:pos="708"/>
                                <w:tab w:val="left" w:pos="567" w:leader="none"/>
                              </w:tabs>
                              <w:rPr>
                                <w:rFonts w:ascii="Times New Roman" w:hAnsi="Times New Roman" w:cs="Times New Roman"/>
                                <w:sz w:val="16"/>
                                <w:szCs w:val="18"/>
                              </w:rPr>
                            </w:pPr>
                            <w:r>
                              <w:rPr>
                                <w:rFonts w:cs="Times New Roman" w:ascii="Times New Roman" w:hAnsi="Times New Roman"/>
                                <w:sz w:val="16"/>
                                <w:szCs w:val="18"/>
                              </w:rPr>
                            </w:r>
                          </w:p>
                          <w:p>
                            <w:pPr>
                              <w:pStyle w:val="Contedodoquadro"/>
                              <w:tabs>
                                <w:tab w:val="clear" w:pos="708"/>
                                <w:tab w:val="left" w:pos="908" w:leader="none"/>
                              </w:tabs>
                              <w:ind w:left="426" w:hanging="0"/>
                              <w:rPr>
                                <w:rFonts w:ascii="Times New Roman" w:hAnsi="Times New Roman" w:cs="Times New Roman"/>
                              </w:rPr>
                            </w:pPr>
                            <w:r>
                              <w:rPr>
                                <w:rFonts w:cs="Times New Roman" w:ascii="Times New Roman" w:hAnsi="Times New Roman"/>
                                <w:sz w:val="16"/>
                                <w:szCs w:val="18"/>
                              </w:rPr>
                              <w:t xml:space="preserve">    </w:t>
                            </w:r>
                            <w:r>
                              <w:rPr>
                                <w:rFonts w:cs="Times New Roman" w:ascii="Times New Roman" w:hAnsi="Times New Roman"/>
                                <w:sz w:val="16"/>
                                <w:szCs w:val="18"/>
                              </w:rPr>
                              <w:t xml:space="preserve">TCC (Trabalho de Conclusão de Curso) – Curso de Engenharia Civil,  Departamento de Áreas Acadêmicas III, Instituto Federal de Educação, Ciência e Tecnologia de Goiás. </w:t>
                            </w:r>
                          </w:p>
                          <w:p>
                            <w:pPr>
                              <w:pStyle w:val="Contedodoquadro"/>
                              <w:tabs>
                                <w:tab w:val="clear" w:pos="708"/>
                                <w:tab w:val="left" w:pos="846" w:leader="none"/>
                              </w:tabs>
                              <w:ind w:left="284" w:hanging="0"/>
                              <w:rPr>
                                <w:rFonts w:ascii="Times New Roman" w:hAnsi="Times New Roman" w:cs="Times New Roman"/>
                              </w:rPr>
                            </w:pPr>
                            <w:r>
                              <w:rPr>
                                <w:rFonts w:cs="Times New Roman" w:ascii="Times New Roman" w:hAnsi="Times New Roman"/>
                                <w:sz w:val="16"/>
                                <w:szCs w:val="18"/>
                              </w:rPr>
                              <w:t xml:space="preserve">          </w:t>
                            </w:r>
                          </w:p>
                          <w:p>
                            <w:pPr>
                              <w:pStyle w:val="Contedodoquadro"/>
                              <w:tabs>
                                <w:tab w:val="clear" w:pos="708"/>
                                <w:tab w:val="left" w:pos="850" w:leader="none"/>
                              </w:tabs>
                              <w:ind w:left="284" w:hanging="0"/>
                              <w:rPr>
                                <w:rFonts w:ascii="Times New Roman" w:hAnsi="Times New Roman" w:cs="Times New Roman"/>
                                <w:sz w:val="16"/>
                                <w:szCs w:val="18"/>
                              </w:rPr>
                            </w:pPr>
                            <w:r>
                              <w:rPr>
                                <w:rFonts w:cs="Times New Roman" w:ascii="Times New Roman" w:hAnsi="Times New Roman"/>
                                <w:sz w:val="16"/>
                                <w:szCs w:val="18"/>
                              </w:rPr>
                            </w:r>
                          </w:p>
                          <w:p>
                            <w:pPr>
                              <w:pStyle w:val="Corpodotexto"/>
                              <w:ind w:left="426" w:hanging="0"/>
                              <w:jc w:val="both"/>
                              <w:rPr/>
                            </w:pPr>
                            <w:r>
                              <w:rPr>
                                <w:sz w:val="16"/>
                                <w:szCs w:val="18"/>
                              </w:rPr>
                              <w:t xml:space="preserve">    </w:t>
                            </w:r>
                            <w:r>
                              <w:rPr>
                                <w:sz w:val="16"/>
                                <w:szCs w:val="18"/>
                              </w:rPr>
                              <w:t>1. Acidentes de trabalho.  2. Segurança do trabalho.  3. Construção civil. I. Mariano, Humberto Rodrigues (orientação).  II. Domiciano, Marcela Leão (coorientação). III. Instituto Federal de Educação, Ciência e Tecnologia de Goiás. IV. Título.</w:t>
                            </w:r>
                          </w:p>
                          <w:p>
                            <w:pPr>
                              <w:pStyle w:val="Ttulo1"/>
                              <w:tabs>
                                <w:tab w:val="clear" w:pos="708"/>
                                <w:tab w:val="left" w:pos="8680" w:leader="none"/>
                              </w:tabs>
                              <w:spacing w:before="240" w:after="240"/>
                              <w:ind w:left="907" w:hanging="0"/>
                              <w:jc w:val="right"/>
                              <w:rPr>
                                <w:rFonts w:ascii="Times New Roman" w:hAnsi="Times New Roman" w:cs="Times New Roman"/>
                                <w:b w:val="false"/>
                                <w:b w:val="false"/>
                                <w:bCs/>
                              </w:rPr>
                            </w:pPr>
                            <w:r>
                              <w:rPr>
                                <w:rFonts w:cs="Times New Roman" w:ascii="Times New Roman" w:hAnsi="Times New Roman"/>
                                <w:sz w:val="16"/>
                                <w:szCs w:val="18"/>
                              </w:rPr>
                              <w:t xml:space="preserve">                                                                                                                                                                                                                                                                              </w:t>
                            </w:r>
                            <w:r>
                              <w:rPr>
                                <w:rFonts w:cs="Times New Roman" w:ascii="Times New Roman" w:hAnsi="Times New Roman"/>
                                <w:b w:val="false"/>
                                <w:bCs/>
                                <w:sz w:val="16"/>
                                <w:szCs w:val="18"/>
                              </w:rPr>
                              <w:t xml:space="preserve">CDD  690.22 </w:t>
                            </w:r>
                          </w:p>
                        </w:txbxContent>
                      </wps:txbx>
                      <wps:bodyPr lIns="94680" rIns="94680" tIns="48960" bIns="48960">
                        <a:noAutofit/>
                      </wps:bodyPr>
                    </wps:wsp>
                  </a:graphicData>
                </a:graphic>
              </wp:anchor>
            </w:drawing>
          </mc:Choice>
          <mc:Fallback>
            <w:pict>
              <v:rect id="shape_0" ID="Caixa de Texto 5" fillcolor="white" stroked="t" style="position:absolute;margin-left:47.3pt;margin-top:0.85pt;width:358.85pt;height:228.35pt;mso-position-horizontal:center;mso-position-horizontal-relative:margin" wp14:anchorId="42638C02">
                <w10:wrap type="square"/>
                <v:fill o:detectmouseclick="t" type="solid" color2="black"/>
                <v:stroke color="black" weight="6480" joinstyle="miter" endcap="flat"/>
                <v:textbox>
                  <w:txbxContent>
                    <w:p>
                      <w:pPr>
                        <w:pStyle w:val="Contedodoquadro"/>
                        <w:rPr>
                          <w:sz w:val="16"/>
                          <w:szCs w:val="18"/>
                        </w:rPr>
                      </w:pPr>
                      <w:r>
                        <w:rPr>
                          <w:sz w:val="16"/>
                          <w:szCs w:val="18"/>
                        </w:rPr>
                      </w:r>
                    </w:p>
                    <w:p>
                      <w:pPr>
                        <w:pStyle w:val="Contedodoquadro"/>
                        <w:rPr>
                          <w:sz w:val="16"/>
                          <w:szCs w:val="18"/>
                        </w:rPr>
                      </w:pPr>
                      <w:r>
                        <w:rPr>
                          <w:sz w:val="16"/>
                          <w:szCs w:val="18"/>
                        </w:rPr>
                      </w:r>
                    </w:p>
                    <w:p>
                      <w:pPr>
                        <w:pStyle w:val="Contedodoquadro"/>
                        <w:ind w:left="-142" w:hanging="0"/>
                        <w:rPr>
                          <w:rFonts w:ascii="Times New Roman" w:hAnsi="Times New Roman" w:cs="Times New Roman"/>
                        </w:rPr>
                      </w:pPr>
                      <w:r>
                        <w:rPr>
                          <w:sz w:val="16"/>
                          <w:szCs w:val="18"/>
                        </w:rPr>
                        <w:t xml:space="preserve">  </w:t>
                      </w:r>
                      <w:r>
                        <w:rPr>
                          <w:rFonts w:cs="Times New Roman" w:ascii="Times New Roman" w:hAnsi="Times New Roman"/>
                          <w:sz w:val="16"/>
                          <w:szCs w:val="18"/>
                        </w:rPr>
                        <w:t xml:space="preserve">P149a  Paiva, Matteus Mesquita.             </w:t>
                      </w:r>
                      <w:r>
                        <w:rPr>
                          <w:rFonts w:cs="Times New Roman" w:ascii="Times New Roman" w:hAnsi="Times New Roman"/>
                          <w:bCs/>
                          <w:sz w:val="16"/>
                          <w:szCs w:val="18"/>
                        </w:rPr>
                        <w:t xml:space="preserve">   </w:t>
                      </w:r>
                      <w:r>
                        <w:rPr>
                          <w:rFonts w:cs="Times New Roman" w:ascii="Times New Roman" w:hAnsi="Times New Roman"/>
                          <w:sz w:val="16"/>
                          <w:szCs w:val="18"/>
                        </w:rPr>
                        <w:t xml:space="preserve">   </w:t>
                      </w:r>
                    </w:p>
                    <w:p>
                      <w:pPr>
                        <w:pStyle w:val="Contedodoquadro"/>
                        <w:tabs>
                          <w:tab w:val="clear" w:pos="708"/>
                          <w:tab w:val="left" w:pos="568" w:leader="none"/>
                          <w:tab w:val="left" w:pos="7640" w:leader="none"/>
                        </w:tabs>
                        <w:suppressAutoHyphens w:val="true"/>
                        <w:ind w:left="454" w:firstLine="113"/>
                        <w:rPr>
                          <w:rFonts w:ascii="Times New Roman" w:hAnsi="Times New Roman" w:cs="Times New Roman"/>
                        </w:rPr>
                      </w:pPr>
                      <w:r>
                        <w:rPr>
                          <w:rFonts w:cs="Times New Roman" w:ascii="Times New Roman" w:hAnsi="Times New Roman"/>
                          <w:sz w:val="16"/>
                          <w:szCs w:val="18"/>
                        </w:rPr>
                        <w:t xml:space="preserve"> </w:t>
                      </w:r>
                      <w:r>
                        <w:rPr>
                          <w:rFonts w:cs="Times New Roman" w:ascii="Times New Roman" w:hAnsi="Times New Roman"/>
                          <w:sz w:val="16"/>
                          <w:szCs w:val="18"/>
                        </w:rPr>
                        <w:t>Aplicação da NR-18 em canteiros de obra: estudos de caso em obras de fundação na cidade de Goiânia/GO / Matteus Mesquita Paiva. – Goiânia : Instituto Federal de Educação, Ciência e Tecnologia de Goiás, 2023.</w:t>
                      </w:r>
                    </w:p>
                    <w:p>
                      <w:pPr>
                        <w:pStyle w:val="Contedodoquadro"/>
                        <w:tabs>
                          <w:tab w:val="clear" w:pos="708"/>
                          <w:tab w:val="left" w:pos="795" w:leader="none"/>
                          <w:tab w:val="left" w:pos="7640" w:leader="none"/>
                        </w:tabs>
                        <w:ind w:left="426" w:hanging="0"/>
                        <w:rPr>
                          <w:rFonts w:ascii="Times New Roman" w:hAnsi="Times New Roman" w:cs="Times New Roman"/>
                        </w:rPr>
                      </w:pPr>
                      <w:r>
                        <w:rPr>
                          <w:rFonts w:cs="Times New Roman" w:ascii="Times New Roman" w:hAnsi="Times New Roman"/>
                          <w:sz w:val="16"/>
                          <w:szCs w:val="18"/>
                        </w:rPr>
                        <w:t xml:space="preserve">     </w:t>
                      </w:r>
                      <w:r>
                        <w:rPr>
                          <w:rFonts w:cs="Times New Roman" w:ascii="Times New Roman" w:hAnsi="Times New Roman"/>
                          <w:sz w:val="16"/>
                          <w:szCs w:val="18"/>
                        </w:rPr>
                        <w:t>114f. ; il.</w:t>
                      </w:r>
                    </w:p>
                    <w:p>
                      <w:pPr>
                        <w:pStyle w:val="Contedodoquadro"/>
                        <w:ind w:left="1085" w:hanging="0"/>
                        <w:rPr>
                          <w:rFonts w:ascii="Times New Roman" w:hAnsi="Times New Roman" w:cs="Times New Roman"/>
                        </w:rPr>
                      </w:pPr>
                      <w:r>
                        <w:rPr>
                          <w:rFonts w:cs="Times New Roman" w:ascii="Times New Roman" w:hAnsi="Times New Roman"/>
                          <w:sz w:val="16"/>
                          <w:szCs w:val="18"/>
                        </w:rPr>
                        <w:t xml:space="preserve">        </w:t>
                      </w:r>
                    </w:p>
                    <w:p>
                      <w:pPr>
                        <w:pStyle w:val="Contedodoquadro"/>
                        <w:tabs>
                          <w:tab w:val="clear" w:pos="708"/>
                          <w:tab w:val="left" w:pos="709" w:leader="none"/>
                        </w:tabs>
                        <w:ind w:left="426" w:hanging="0"/>
                        <w:rPr>
                          <w:rFonts w:ascii="Times New Roman" w:hAnsi="Times New Roman" w:cs="Times New Roman"/>
                        </w:rPr>
                      </w:pPr>
                      <w:r>
                        <w:rPr>
                          <w:rFonts w:cs="Times New Roman" w:ascii="Times New Roman" w:hAnsi="Times New Roman"/>
                          <w:sz w:val="16"/>
                          <w:szCs w:val="18"/>
                        </w:rPr>
                        <w:t xml:space="preserve">     </w:t>
                      </w:r>
                      <w:r>
                        <w:rPr>
                          <w:rFonts w:cs="Times New Roman" w:ascii="Times New Roman" w:hAnsi="Times New Roman"/>
                          <w:sz w:val="16"/>
                          <w:szCs w:val="18"/>
                        </w:rPr>
                        <w:t>Orientação</w:t>
                      </w:r>
                      <w:r>
                        <w:rPr>
                          <w:rFonts w:cs="Times New Roman" w:ascii="Times New Roman" w:hAnsi="Times New Roman"/>
                          <w:sz w:val="16"/>
                          <w:szCs w:val="16"/>
                        </w:rPr>
                        <w:t xml:space="preserve">: Prof. Me. Humberto Rodrigues Mariano. </w:t>
                      </w:r>
                    </w:p>
                    <w:p>
                      <w:pPr>
                        <w:pStyle w:val="Contedodoquadro"/>
                        <w:tabs>
                          <w:tab w:val="clear" w:pos="708"/>
                          <w:tab w:val="left" w:pos="709" w:leader="none"/>
                        </w:tabs>
                        <w:ind w:left="426" w:hanging="0"/>
                        <w:rPr>
                          <w:rFonts w:ascii="Times New Roman" w:hAnsi="Times New Roman" w:cs="Times New Roman"/>
                        </w:rPr>
                      </w:pPr>
                      <w:r>
                        <w:rPr>
                          <w:rFonts w:cs="Times New Roman" w:ascii="Times New Roman" w:hAnsi="Times New Roman"/>
                          <w:sz w:val="16"/>
                          <w:szCs w:val="16"/>
                        </w:rPr>
                        <w:t xml:space="preserve">     </w:t>
                      </w:r>
                      <w:r>
                        <w:rPr>
                          <w:rFonts w:cs="Times New Roman" w:ascii="Times New Roman" w:hAnsi="Times New Roman"/>
                          <w:sz w:val="16"/>
                          <w:szCs w:val="16"/>
                        </w:rPr>
                        <w:t xml:space="preserve">Coorientação: Profa. Me. Marcela Leão Domiciano.          </w:t>
                      </w:r>
                      <w:r>
                        <w:rPr>
                          <w:rFonts w:cs="Times New Roman" w:ascii="Times New Roman" w:hAnsi="Times New Roman"/>
                          <w:sz w:val="16"/>
                          <w:szCs w:val="18"/>
                        </w:rPr>
                        <w:t xml:space="preserve"> </w:t>
                      </w:r>
                    </w:p>
                    <w:p>
                      <w:pPr>
                        <w:pStyle w:val="Contedodoquadro"/>
                        <w:tabs>
                          <w:tab w:val="clear" w:pos="708"/>
                          <w:tab w:val="left" w:pos="567" w:leader="none"/>
                        </w:tabs>
                        <w:rPr>
                          <w:rFonts w:ascii="Times New Roman" w:hAnsi="Times New Roman" w:cs="Times New Roman"/>
                          <w:sz w:val="16"/>
                          <w:szCs w:val="18"/>
                        </w:rPr>
                      </w:pPr>
                      <w:r>
                        <w:rPr>
                          <w:rFonts w:cs="Times New Roman" w:ascii="Times New Roman" w:hAnsi="Times New Roman"/>
                          <w:sz w:val="16"/>
                          <w:szCs w:val="18"/>
                        </w:rPr>
                      </w:r>
                    </w:p>
                    <w:p>
                      <w:pPr>
                        <w:pStyle w:val="Contedodoquadro"/>
                        <w:tabs>
                          <w:tab w:val="clear" w:pos="708"/>
                          <w:tab w:val="left" w:pos="908" w:leader="none"/>
                        </w:tabs>
                        <w:ind w:left="426" w:hanging="0"/>
                        <w:rPr>
                          <w:rFonts w:ascii="Times New Roman" w:hAnsi="Times New Roman" w:cs="Times New Roman"/>
                        </w:rPr>
                      </w:pPr>
                      <w:r>
                        <w:rPr>
                          <w:rFonts w:cs="Times New Roman" w:ascii="Times New Roman" w:hAnsi="Times New Roman"/>
                          <w:sz w:val="16"/>
                          <w:szCs w:val="18"/>
                        </w:rPr>
                        <w:t xml:space="preserve">    </w:t>
                      </w:r>
                      <w:r>
                        <w:rPr>
                          <w:rFonts w:cs="Times New Roman" w:ascii="Times New Roman" w:hAnsi="Times New Roman"/>
                          <w:sz w:val="16"/>
                          <w:szCs w:val="18"/>
                        </w:rPr>
                        <w:t xml:space="preserve">TCC (Trabalho de Conclusão de Curso) – Curso de Engenharia Civil,  Departamento de Áreas Acadêmicas III, Instituto Federal de Educação, Ciência e Tecnologia de Goiás. </w:t>
                      </w:r>
                    </w:p>
                    <w:p>
                      <w:pPr>
                        <w:pStyle w:val="Contedodoquadro"/>
                        <w:tabs>
                          <w:tab w:val="clear" w:pos="708"/>
                          <w:tab w:val="left" w:pos="846" w:leader="none"/>
                        </w:tabs>
                        <w:ind w:left="284" w:hanging="0"/>
                        <w:rPr>
                          <w:rFonts w:ascii="Times New Roman" w:hAnsi="Times New Roman" w:cs="Times New Roman"/>
                        </w:rPr>
                      </w:pPr>
                      <w:r>
                        <w:rPr>
                          <w:rFonts w:cs="Times New Roman" w:ascii="Times New Roman" w:hAnsi="Times New Roman"/>
                          <w:sz w:val="16"/>
                          <w:szCs w:val="18"/>
                        </w:rPr>
                        <w:t xml:space="preserve">          </w:t>
                      </w:r>
                    </w:p>
                    <w:p>
                      <w:pPr>
                        <w:pStyle w:val="Contedodoquadro"/>
                        <w:tabs>
                          <w:tab w:val="clear" w:pos="708"/>
                          <w:tab w:val="left" w:pos="850" w:leader="none"/>
                        </w:tabs>
                        <w:ind w:left="284" w:hanging="0"/>
                        <w:rPr>
                          <w:rFonts w:ascii="Times New Roman" w:hAnsi="Times New Roman" w:cs="Times New Roman"/>
                          <w:sz w:val="16"/>
                          <w:szCs w:val="18"/>
                        </w:rPr>
                      </w:pPr>
                      <w:r>
                        <w:rPr>
                          <w:rFonts w:cs="Times New Roman" w:ascii="Times New Roman" w:hAnsi="Times New Roman"/>
                          <w:sz w:val="16"/>
                          <w:szCs w:val="18"/>
                        </w:rPr>
                      </w:r>
                    </w:p>
                    <w:p>
                      <w:pPr>
                        <w:pStyle w:val="Corpodotexto"/>
                        <w:ind w:left="426" w:hanging="0"/>
                        <w:jc w:val="both"/>
                        <w:rPr/>
                      </w:pPr>
                      <w:r>
                        <w:rPr>
                          <w:sz w:val="16"/>
                          <w:szCs w:val="18"/>
                        </w:rPr>
                        <w:t xml:space="preserve">    </w:t>
                      </w:r>
                      <w:r>
                        <w:rPr>
                          <w:sz w:val="16"/>
                          <w:szCs w:val="18"/>
                        </w:rPr>
                        <w:t>1. Acidentes de trabalho.  2. Segurança do trabalho.  3. Construção civil. I. Mariano, Humberto Rodrigues (orientação).  II. Domiciano, Marcela Leão (coorientação). III. Instituto Federal de Educação, Ciência e Tecnologia de Goiás. IV. Título.</w:t>
                      </w:r>
                    </w:p>
                    <w:p>
                      <w:pPr>
                        <w:pStyle w:val="Ttulo1"/>
                        <w:tabs>
                          <w:tab w:val="clear" w:pos="708"/>
                          <w:tab w:val="left" w:pos="8680" w:leader="none"/>
                        </w:tabs>
                        <w:spacing w:before="240" w:after="240"/>
                        <w:ind w:left="907" w:hanging="0"/>
                        <w:jc w:val="right"/>
                        <w:rPr>
                          <w:rFonts w:ascii="Times New Roman" w:hAnsi="Times New Roman" w:cs="Times New Roman"/>
                          <w:b w:val="false"/>
                          <w:b w:val="false"/>
                          <w:bCs/>
                        </w:rPr>
                      </w:pPr>
                      <w:r>
                        <w:rPr>
                          <w:rFonts w:cs="Times New Roman" w:ascii="Times New Roman" w:hAnsi="Times New Roman"/>
                          <w:sz w:val="16"/>
                          <w:szCs w:val="18"/>
                        </w:rPr>
                        <w:t xml:space="preserve">                                                                                                                                                                                                                                                                              </w:t>
                      </w:r>
                      <w:r>
                        <w:rPr>
                          <w:rFonts w:cs="Times New Roman" w:ascii="Times New Roman" w:hAnsi="Times New Roman"/>
                          <w:b w:val="false"/>
                          <w:bCs/>
                          <w:sz w:val="16"/>
                          <w:szCs w:val="18"/>
                        </w:rPr>
                        <w:t xml:space="preserve">CDD  690.22 </w:t>
                      </w:r>
                    </w:p>
                  </w:txbxContent>
                </v:textbox>
              </v:rect>
            </w:pict>
          </mc:Fallback>
        </mc:AlternateContent>
      </w:r>
    </w:p>
    <w:p>
      <w:pPr>
        <w:pStyle w:val="Normal"/>
        <w:suppressAutoHyphens w:val="true"/>
        <w:jc w:val="left"/>
        <w:rPr>
          <w:rFonts w:ascii="Times New Roman" w:hAnsi="Times New Roman" w:eastAsia="Times New Roman" w:cs="Times New Roman"/>
          <w:sz w:val="20"/>
          <w:szCs w:val="20"/>
          <w:lang w:eastAsia="zh-CN"/>
        </w:rPr>
      </w:pPr>
      <w:r>
        <w:rPr>
          <w:rFonts w:eastAsia="Times New Roman" w:cs="Times New Roman" w:ascii="Times New Roman" w:hAnsi="Times New Roman"/>
          <w:sz w:val="20"/>
          <w:szCs w:val="20"/>
          <w:lang w:eastAsia="zh-CN"/>
        </w:rPr>
      </w:r>
    </w:p>
    <w:p>
      <w:pPr>
        <w:pStyle w:val="Normal"/>
        <w:suppressAutoHyphens w:val="true"/>
        <w:jc w:val="left"/>
        <w:rPr>
          <w:rFonts w:ascii="Times New Roman" w:hAnsi="Times New Roman" w:eastAsia="Times New Roman" w:cs="Times New Roman"/>
          <w:sz w:val="20"/>
          <w:szCs w:val="20"/>
          <w:lang w:eastAsia="zh-CN"/>
        </w:rPr>
      </w:pPr>
      <w:r>
        <w:rPr>
          <w:rFonts w:eastAsia="Times New Roman" w:cs="Times New Roman" w:ascii="Times New Roman" w:hAnsi="Times New Roman"/>
          <w:sz w:val="20"/>
          <w:szCs w:val="20"/>
          <w:lang w:eastAsia="zh-CN"/>
        </w:rPr>
      </w:r>
    </w:p>
    <w:p>
      <w:pPr>
        <w:pStyle w:val="Normal"/>
        <w:suppressAutoHyphens w:val="true"/>
        <w:jc w:val="left"/>
        <w:rPr>
          <w:rFonts w:ascii="Times New Roman" w:hAnsi="Times New Roman" w:eastAsia="Times New Roman" w:cs="Times New Roman"/>
          <w:sz w:val="20"/>
          <w:szCs w:val="20"/>
          <w:lang w:eastAsia="zh-CN"/>
        </w:rPr>
      </w:pPr>
      <w:r>
        <w:rPr>
          <w:rFonts w:eastAsia="Times New Roman" w:cs="Times New Roman" w:ascii="Times New Roman" w:hAnsi="Times New Roman"/>
          <w:sz w:val="20"/>
          <w:szCs w:val="20"/>
          <w:lang w:eastAsia="zh-CN"/>
        </w:rPr>
      </w:r>
    </w:p>
    <w:p>
      <w:pPr>
        <w:pStyle w:val="Normal"/>
        <w:suppressAutoHyphens w:val="true"/>
        <w:jc w:val="left"/>
        <w:rPr>
          <w:rFonts w:ascii="Times New Roman" w:hAnsi="Times New Roman" w:eastAsia="Times New Roman" w:cs="Times New Roman"/>
          <w:sz w:val="20"/>
          <w:szCs w:val="20"/>
          <w:lang w:eastAsia="zh-CN"/>
        </w:rPr>
      </w:pPr>
      <w:r>
        <w:rPr>
          <w:rFonts w:eastAsia="Times New Roman" w:cs="Times New Roman" w:ascii="Times New Roman" w:hAnsi="Times New Roman"/>
          <w:sz w:val="20"/>
          <w:szCs w:val="20"/>
          <w:lang w:eastAsia="zh-CN"/>
        </w:rPr>
      </w:r>
    </w:p>
    <w:p>
      <w:pPr>
        <w:pStyle w:val="Normal"/>
        <w:suppressAutoHyphens w:val="true"/>
        <w:jc w:val="left"/>
        <w:rPr>
          <w:rFonts w:ascii="Times New Roman" w:hAnsi="Times New Roman" w:eastAsia="Times New Roman" w:cs="Times New Roman"/>
          <w:sz w:val="20"/>
          <w:szCs w:val="20"/>
          <w:lang w:eastAsia="zh-CN"/>
        </w:rPr>
      </w:pPr>
      <w:r>
        <w:rPr>
          <w:rFonts w:eastAsia="Times New Roman" w:cs="Times New Roman" w:ascii="Times New Roman" w:hAnsi="Times New Roman"/>
          <w:sz w:val="20"/>
          <w:szCs w:val="20"/>
          <w:lang w:eastAsia="zh-CN"/>
        </w:rPr>
      </w:r>
    </w:p>
    <w:p>
      <w:pPr>
        <w:pStyle w:val="Normal"/>
        <w:suppressAutoHyphens w:val="true"/>
        <w:jc w:val="left"/>
        <w:rPr>
          <w:rFonts w:ascii="Times New Roman" w:hAnsi="Times New Roman" w:eastAsia="Times New Roman" w:cs="Times New Roman"/>
          <w:sz w:val="20"/>
          <w:szCs w:val="20"/>
          <w:lang w:eastAsia="zh-CN"/>
        </w:rPr>
      </w:pPr>
      <w:r>
        <w:rPr>
          <w:rFonts w:eastAsia="Times New Roman" w:cs="Times New Roman" w:ascii="Times New Roman" w:hAnsi="Times New Roman"/>
          <w:sz w:val="20"/>
          <w:szCs w:val="20"/>
          <w:lang w:eastAsia="zh-CN"/>
        </w:rPr>
      </w:r>
    </w:p>
    <w:p>
      <w:pPr>
        <w:pStyle w:val="Normal"/>
        <w:suppressAutoHyphens w:val="true"/>
        <w:jc w:val="left"/>
        <w:rPr>
          <w:rFonts w:ascii="Times New Roman" w:hAnsi="Times New Roman" w:eastAsia="Times New Roman" w:cs="Times New Roman"/>
          <w:sz w:val="20"/>
          <w:szCs w:val="20"/>
          <w:lang w:eastAsia="zh-CN"/>
        </w:rPr>
      </w:pPr>
      <w:r>
        <w:rPr>
          <w:rFonts w:eastAsia="Times New Roman" w:cs="Times New Roman" w:ascii="Times New Roman" w:hAnsi="Times New Roman"/>
          <w:sz w:val="20"/>
          <w:szCs w:val="20"/>
          <w:lang w:eastAsia="zh-CN"/>
        </w:rPr>
      </w:r>
    </w:p>
    <w:p>
      <w:pPr>
        <w:pStyle w:val="Normal"/>
        <w:suppressAutoHyphens w:val="true"/>
        <w:jc w:val="left"/>
        <w:rPr>
          <w:rFonts w:ascii="Times New Roman" w:hAnsi="Times New Roman" w:eastAsia="Times New Roman" w:cs="Times New Roman"/>
          <w:sz w:val="20"/>
          <w:szCs w:val="20"/>
          <w:lang w:eastAsia="zh-CN"/>
        </w:rPr>
      </w:pPr>
      <w:r>
        <w:rPr>
          <w:rFonts w:eastAsia="Times New Roman" w:cs="Times New Roman" w:ascii="Times New Roman" w:hAnsi="Times New Roman"/>
          <w:sz w:val="20"/>
          <w:szCs w:val="20"/>
          <w:lang w:eastAsia="zh-CN"/>
        </w:rPr>
      </w:r>
    </w:p>
    <w:p>
      <w:pPr>
        <w:pStyle w:val="Normal"/>
        <w:suppressAutoHyphens w:val="true"/>
        <w:jc w:val="left"/>
        <w:rPr>
          <w:rFonts w:ascii="Times New Roman" w:hAnsi="Times New Roman" w:eastAsia="Times New Roman" w:cs="Times New Roman"/>
          <w:sz w:val="20"/>
          <w:szCs w:val="20"/>
          <w:lang w:eastAsia="zh-CN"/>
        </w:rPr>
      </w:pPr>
      <w:r>
        <w:rPr>
          <w:rFonts w:eastAsia="Times New Roman" w:cs="Times New Roman" w:ascii="Times New Roman" w:hAnsi="Times New Roman"/>
          <w:sz w:val="20"/>
          <w:szCs w:val="20"/>
          <w:lang w:eastAsia="zh-CN"/>
        </w:rPr>
      </w:r>
    </w:p>
    <w:p>
      <w:pPr>
        <w:pStyle w:val="Normal"/>
        <w:suppressAutoHyphens w:val="true"/>
        <w:jc w:val="left"/>
        <w:rPr>
          <w:rFonts w:ascii="Times New Roman" w:hAnsi="Times New Roman" w:eastAsia="Times New Roman" w:cs="Times New Roman"/>
          <w:sz w:val="20"/>
          <w:szCs w:val="20"/>
          <w:lang w:eastAsia="zh-CN"/>
        </w:rPr>
      </w:pPr>
      <w:r>
        <w:rPr>
          <w:rFonts w:eastAsia="Times New Roman" w:cs="Times New Roman" w:ascii="Times New Roman" w:hAnsi="Times New Roman"/>
          <w:sz w:val="20"/>
          <w:szCs w:val="20"/>
          <w:lang w:eastAsia="zh-CN"/>
        </w:rPr>
      </w:r>
    </w:p>
    <w:p>
      <w:pPr>
        <w:pStyle w:val="Normal"/>
        <w:tabs>
          <w:tab w:val="clear" w:pos="708"/>
          <w:tab w:val="left" w:pos="1931" w:leader="none"/>
        </w:tabs>
        <w:suppressAutoHyphens w:val="true"/>
        <w:jc w:val="left"/>
        <w:rPr>
          <w:rFonts w:ascii="Times New Roman" w:hAnsi="Times New Roman" w:eastAsia="Times New Roman" w:cs="Times New Roman"/>
          <w:sz w:val="20"/>
          <w:szCs w:val="20"/>
          <w:lang w:eastAsia="zh-CN"/>
        </w:rPr>
      </w:pPr>
      <w:r>
        <w:rPr>
          <w:rFonts w:eastAsia="Times New Roman" w:cs="Times New Roman" w:ascii="Times New Roman" w:hAnsi="Times New Roman"/>
          <w:sz w:val="20"/>
          <w:szCs w:val="20"/>
          <w:lang w:eastAsia="zh-CN"/>
        </w:rPr>
      </w:r>
    </w:p>
    <w:p>
      <w:pPr>
        <w:pStyle w:val="Normal"/>
        <w:suppressAutoHyphens w:val="true"/>
        <w:jc w:val="left"/>
        <w:rPr>
          <w:rFonts w:ascii="Times New Roman" w:hAnsi="Times New Roman" w:eastAsia="Times New Roman" w:cs="Times New Roman"/>
          <w:sz w:val="20"/>
          <w:szCs w:val="20"/>
          <w:lang w:eastAsia="zh-CN"/>
        </w:rPr>
      </w:pPr>
      <w:r>
        <w:rPr>
          <w:rFonts w:eastAsia="Times New Roman" w:cs="Times New Roman" w:ascii="Times New Roman" w:hAnsi="Times New Roman"/>
          <w:sz w:val="20"/>
          <w:szCs w:val="20"/>
          <w:lang w:eastAsia="zh-CN"/>
        </w:rPr>
      </w:r>
    </w:p>
    <w:p>
      <w:pPr>
        <w:pStyle w:val="Normal"/>
        <w:suppressAutoHyphens w:val="true"/>
        <w:jc w:val="left"/>
        <w:rPr>
          <w:rFonts w:ascii="Times New Roman" w:hAnsi="Times New Roman" w:eastAsia="Times New Roman" w:cs="Times New Roman"/>
          <w:sz w:val="20"/>
          <w:szCs w:val="20"/>
          <w:lang w:eastAsia="zh-CN"/>
        </w:rPr>
      </w:pPr>
      <w:r>
        <w:rPr>
          <w:rFonts w:eastAsia="Times New Roman" w:cs="Times New Roman" w:ascii="Times New Roman" w:hAnsi="Times New Roman"/>
          <w:sz w:val="20"/>
          <w:szCs w:val="20"/>
          <w:lang w:eastAsia="zh-CN"/>
        </w:rPr>
      </w:r>
    </w:p>
    <w:p>
      <w:pPr>
        <w:pStyle w:val="Normal"/>
        <w:suppressAutoHyphens w:val="true"/>
        <w:jc w:val="left"/>
        <w:rPr>
          <w:rFonts w:ascii="Times New Roman" w:hAnsi="Times New Roman" w:eastAsia="Times New Roman" w:cs="Times New Roman"/>
          <w:sz w:val="20"/>
          <w:szCs w:val="20"/>
          <w:lang w:eastAsia="zh-CN"/>
        </w:rPr>
      </w:pPr>
      <w:r>
        <w:rPr>
          <w:rFonts w:eastAsia="Times New Roman" w:cs="Times New Roman" w:ascii="Times New Roman" w:hAnsi="Times New Roman"/>
          <w:sz w:val="20"/>
          <w:szCs w:val="20"/>
          <w:lang w:eastAsia="zh-CN"/>
        </w:rPr>
      </w:r>
    </w:p>
    <w:p>
      <w:pPr>
        <w:pStyle w:val="Normal"/>
        <w:suppressAutoHyphens w:val="true"/>
        <w:jc w:val="left"/>
        <w:rPr>
          <w:rFonts w:ascii="Times New Roman" w:hAnsi="Times New Roman" w:eastAsia="Times New Roman" w:cs="Times New Roman"/>
          <w:sz w:val="20"/>
          <w:szCs w:val="20"/>
          <w:lang w:eastAsia="zh-CN"/>
        </w:rPr>
      </w:pPr>
      <w:r>
        <w:rPr>
          <w:rFonts w:eastAsia="Times New Roman" w:cs="Times New Roman" w:ascii="Times New Roman" w:hAnsi="Times New Roman"/>
          <w:sz w:val="20"/>
          <w:szCs w:val="20"/>
          <w:lang w:eastAsia="zh-CN"/>
        </w:rPr>
      </w:r>
    </w:p>
    <w:p>
      <w:pPr>
        <w:pStyle w:val="Normal"/>
        <w:suppressAutoHyphens w:val="true"/>
        <w:jc w:val="left"/>
        <w:rPr>
          <w:rFonts w:ascii="Times New Roman" w:hAnsi="Times New Roman" w:eastAsia="Times New Roman" w:cs="Times New Roman"/>
          <w:sz w:val="20"/>
          <w:szCs w:val="20"/>
          <w:lang w:eastAsia="zh-CN"/>
        </w:rPr>
      </w:pPr>
      <w:r>
        <w:rPr>
          <w:rFonts w:eastAsia="Times New Roman" w:cs="Times New Roman" w:ascii="Times New Roman" w:hAnsi="Times New Roman"/>
          <w:sz w:val="20"/>
          <w:szCs w:val="20"/>
          <w:lang w:eastAsia="zh-CN"/>
        </w:rPr>
      </w:r>
    </w:p>
    <w:p>
      <w:pPr>
        <w:pStyle w:val="Normal"/>
        <w:suppressAutoHyphens w:val="true"/>
        <w:jc w:val="left"/>
        <w:rPr>
          <w:rFonts w:ascii="Times New Roman" w:hAnsi="Times New Roman" w:eastAsia="Times New Roman" w:cs="Times New Roman"/>
          <w:sz w:val="20"/>
          <w:szCs w:val="20"/>
          <w:lang w:eastAsia="zh-CN"/>
        </w:rPr>
      </w:pPr>
      <w:r>
        <w:rPr>
          <w:rFonts w:eastAsia="Times New Roman" w:cs="Times New Roman" w:ascii="Times New Roman" w:hAnsi="Times New Roman"/>
          <w:sz w:val="20"/>
          <w:szCs w:val="20"/>
          <w:lang w:eastAsia="zh-CN"/>
        </w:rPr>
      </w:r>
    </w:p>
    <w:p>
      <w:pPr>
        <w:pStyle w:val="Normal"/>
        <w:suppressAutoHyphens w:val="true"/>
        <w:jc w:val="left"/>
        <w:rPr>
          <w:rFonts w:ascii="Times New Roman" w:hAnsi="Times New Roman" w:eastAsia="Times New Roman" w:cs="Times New Roman"/>
          <w:sz w:val="20"/>
          <w:szCs w:val="20"/>
          <w:lang w:eastAsia="zh-CN"/>
        </w:rPr>
      </w:pPr>
      <w:r>
        <w:rPr>
          <w:rFonts w:eastAsia="Times New Roman" w:cs="Times New Roman" w:ascii="Times New Roman" w:hAnsi="Times New Roman"/>
          <w:sz w:val="20"/>
          <w:szCs w:val="20"/>
          <w:lang w:eastAsia="zh-CN"/>
        </w:rPr>
      </w:r>
    </w:p>
    <w:p>
      <w:pPr>
        <w:pStyle w:val="Normal"/>
        <w:suppressAutoHyphens w:val="true"/>
        <w:jc w:val="left"/>
        <w:rPr>
          <w:rFonts w:ascii="Times New Roman" w:hAnsi="Times New Roman" w:eastAsia="Times New Roman" w:cs="Times New Roman"/>
          <w:sz w:val="20"/>
          <w:szCs w:val="20"/>
          <w:lang w:eastAsia="zh-CN"/>
        </w:rPr>
      </w:pPr>
      <w:r>
        <w:rPr>
          <w:rFonts w:eastAsia="Times New Roman" w:cs="Times New Roman" w:ascii="Times New Roman" w:hAnsi="Times New Roman"/>
          <w:sz w:val="20"/>
          <w:szCs w:val="20"/>
          <w:lang w:eastAsia="zh-CN"/>
        </w:rPr>
      </w:r>
    </w:p>
    <w:p>
      <w:pPr>
        <w:pStyle w:val="Normal"/>
        <w:suppressAutoHyphens w:val="true"/>
        <w:jc w:val="left"/>
        <w:rPr>
          <w:rFonts w:ascii="Times New Roman" w:hAnsi="Times New Roman" w:eastAsia="Times New Roman" w:cs="Times New Roman"/>
          <w:sz w:val="20"/>
          <w:szCs w:val="20"/>
          <w:lang w:eastAsia="zh-CN"/>
        </w:rPr>
      </w:pPr>
      <w:r>
        <w:rPr>
          <w:rFonts w:eastAsia="Times New Roman" w:cs="Times New Roman" w:ascii="Times New Roman" w:hAnsi="Times New Roman"/>
          <w:sz w:val="20"/>
          <w:szCs w:val="20"/>
          <w:lang w:eastAsia="zh-CN"/>
        </w:rPr>
      </w:r>
    </w:p>
    <w:p>
      <w:pPr>
        <w:pStyle w:val="Normal"/>
        <w:suppressAutoHyphens w:val="true"/>
        <w:jc w:val="center"/>
        <w:rPr>
          <w:rFonts w:ascii="Times New Roman" w:hAnsi="Times New Roman" w:eastAsia="Times New Roman" w:cs="Times New Roman"/>
          <w:sz w:val="20"/>
          <w:szCs w:val="20"/>
          <w:lang w:eastAsia="zh-CN"/>
        </w:rPr>
      </w:pPr>
      <w:r>
        <w:rPr>
          <w:rFonts w:eastAsia="Times New Roman" w:cs="Times New Roman" w:ascii="Times New Roman" w:hAnsi="Times New Roman"/>
          <w:sz w:val="16"/>
          <w:szCs w:val="18"/>
          <w:lang w:eastAsia="zh-CN"/>
        </w:rPr>
        <w:t>Ficha catalográfica elaborada pela bibliotecária Lana Cristina Dias Oliveira CRB1/ 2.631</w:t>
      </w:r>
    </w:p>
    <w:p>
      <w:pPr>
        <w:pStyle w:val="Normal"/>
        <w:suppressAutoHyphens w:val="true"/>
        <w:jc w:val="center"/>
        <w:rPr>
          <w:rFonts w:ascii="Times New Roman" w:hAnsi="Times New Roman" w:eastAsia="Times New Roman" w:cs="Times New Roman"/>
          <w:sz w:val="20"/>
          <w:szCs w:val="20"/>
          <w:lang w:eastAsia="zh-CN"/>
        </w:rPr>
      </w:pPr>
      <w:r>
        <w:rPr>
          <w:rFonts w:eastAsia="Times New Roman" w:cs="Times New Roman" w:ascii="Times New Roman" w:hAnsi="Times New Roman"/>
          <w:sz w:val="16"/>
          <w:szCs w:val="18"/>
          <w:lang w:eastAsia="zh-CN"/>
        </w:rPr>
        <w:t xml:space="preserve">Biblioteca Professor Jorge Félix de Souza, </w:t>
      </w:r>
    </w:p>
    <w:p>
      <w:pPr>
        <w:pStyle w:val="Normal"/>
        <w:suppressAutoHyphens w:val="true"/>
        <w:jc w:val="center"/>
        <w:rPr>
          <w:rFonts w:ascii="Times New Roman" w:hAnsi="Times New Roman" w:eastAsia="Times New Roman" w:cs="Times New Roman"/>
          <w:sz w:val="20"/>
          <w:szCs w:val="20"/>
          <w:lang w:eastAsia="zh-CN"/>
        </w:rPr>
      </w:pPr>
      <w:r>
        <w:rPr>
          <w:rFonts w:eastAsia="Times New Roman" w:cs="Times New Roman" w:ascii="Times New Roman" w:hAnsi="Times New Roman"/>
          <w:sz w:val="16"/>
          <w:szCs w:val="18"/>
          <w:lang w:eastAsia="zh-CN"/>
        </w:rPr>
        <w:t>Instituto Federal de Educação, Ciência e Tecnologia de Goiás, Câmpus Goiânia.</w:t>
      </w:r>
    </w:p>
    <w:p>
      <w:pPr>
        <w:pStyle w:val="Normal"/>
        <w:tabs>
          <w:tab w:val="clear" w:pos="708"/>
          <w:tab w:val="left" w:pos="1811" w:leader="none"/>
        </w:tabs>
        <w:suppressAutoHyphens w:val="true"/>
        <w:jc w:val="center"/>
        <w:rPr>
          <w:rFonts w:ascii="Times New Roman" w:hAnsi="Times New Roman" w:eastAsia="Times New Roman" w:cs="Times New Roman"/>
          <w:sz w:val="20"/>
          <w:szCs w:val="20"/>
          <w:lang w:eastAsia="zh-CN"/>
        </w:rPr>
      </w:pPr>
      <w:r>
        <w:rPr>
          <w:rFonts w:eastAsia="Times New Roman" w:cs="Times New Roman" w:ascii="Times New Roman" w:hAnsi="Times New Roman"/>
          <w:sz w:val="20"/>
          <w:szCs w:val="20"/>
          <w:lang w:eastAsia="zh-CN"/>
        </w:rPr>
      </w:r>
    </w:p>
    <w:p>
      <w:pPr>
        <w:pStyle w:val="Normal"/>
        <w:tabs>
          <w:tab w:val="clear" w:pos="708"/>
          <w:tab w:val="left" w:pos="1811" w:leader="none"/>
        </w:tabs>
        <w:suppressAutoHyphens w:val="true"/>
        <w:jc w:val="center"/>
        <w:rPr>
          <w:rFonts w:ascii="Times New Roman" w:hAnsi="Times New Roman" w:eastAsia="Times New Roman" w:cs="Times New Roman"/>
          <w:sz w:val="20"/>
          <w:szCs w:val="20"/>
          <w:lang w:eastAsia="zh-CN"/>
        </w:rPr>
      </w:pPr>
      <w:r>
        <w:rPr>
          <w:rFonts w:eastAsia="Times New Roman" w:cs="Times New Roman" w:ascii="Times New Roman" w:hAnsi="Times New Roman"/>
          <w:sz w:val="20"/>
          <w:szCs w:val="20"/>
          <w:lang w:eastAsia="zh-CN"/>
        </w:rPr>
      </w:r>
    </w:p>
    <w:p>
      <w:pPr>
        <w:pStyle w:val="Normal"/>
        <w:tabs>
          <w:tab w:val="clear" w:pos="708"/>
          <w:tab w:val="left" w:pos="1811" w:leader="none"/>
        </w:tabs>
        <w:suppressAutoHyphens w:val="true"/>
        <w:jc w:val="center"/>
        <w:rPr>
          <w:rFonts w:ascii="Times New Roman" w:hAnsi="Times New Roman" w:eastAsia="Times New Roman" w:cs="Times New Roman"/>
          <w:sz w:val="20"/>
          <w:szCs w:val="20"/>
          <w:lang w:eastAsia="zh-CN"/>
        </w:rPr>
      </w:pPr>
      <w:r>
        <w:rPr>
          <w:rFonts w:eastAsia="Times New Roman" w:cs="Times New Roman" w:ascii="Times New Roman" w:hAnsi="Times New Roman"/>
          <w:sz w:val="20"/>
          <w:szCs w:val="20"/>
          <w:lang w:eastAsia="zh-CN"/>
        </w:rPr>
      </w:r>
    </w:p>
    <w:p>
      <w:pPr>
        <w:pStyle w:val="Normal"/>
        <w:tabs>
          <w:tab w:val="clear" w:pos="708"/>
          <w:tab w:val="left" w:pos="1811" w:leader="none"/>
        </w:tabs>
        <w:suppressAutoHyphens w:val="true"/>
        <w:jc w:val="center"/>
        <w:rPr>
          <w:rFonts w:ascii="Times New Roman" w:hAnsi="Times New Roman" w:eastAsia="Times New Roman" w:cs="Times New Roman"/>
          <w:sz w:val="20"/>
          <w:szCs w:val="20"/>
          <w:lang w:eastAsia="zh-CN"/>
        </w:rPr>
      </w:pPr>
      <w:r>
        <w:rPr>
          <w:rFonts w:eastAsia="Times New Roman" w:cs="Times New Roman" w:ascii="Times New Roman" w:hAnsi="Times New Roman"/>
          <w:sz w:val="20"/>
          <w:szCs w:val="20"/>
          <w:lang w:eastAsia="zh-CN"/>
        </w:rPr>
      </w:r>
    </w:p>
    <w:p>
      <w:pPr>
        <w:pStyle w:val="Normal"/>
        <w:tabs>
          <w:tab w:val="clear" w:pos="708"/>
          <w:tab w:val="left" w:pos="1811" w:leader="none"/>
        </w:tabs>
        <w:suppressAutoHyphens w:val="true"/>
        <w:jc w:val="center"/>
        <w:rPr>
          <w:rFonts w:ascii="Times New Roman" w:hAnsi="Times New Roman" w:eastAsia="Times New Roman" w:cs="Times New Roman"/>
          <w:sz w:val="20"/>
          <w:szCs w:val="20"/>
          <w:lang w:eastAsia="zh-CN"/>
        </w:rPr>
      </w:pPr>
      <w:r>
        <w:rPr>
          <w:rFonts w:eastAsia="Times New Roman" w:cs="Times New Roman" w:ascii="Times New Roman" w:hAnsi="Times New Roman"/>
          <w:sz w:val="20"/>
          <w:szCs w:val="20"/>
          <w:lang w:eastAsia="zh-CN"/>
        </w:rPr>
      </w:r>
    </w:p>
    <w:p>
      <w:pPr>
        <w:pStyle w:val="Normal"/>
        <w:tabs>
          <w:tab w:val="clear" w:pos="708"/>
          <w:tab w:val="left" w:pos="1811" w:leader="none"/>
        </w:tabs>
        <w:suppressAutoHyphens w:val="true"/>
        <w:jc w:val="center"/>
        <w:rPr>
          <w:rFonts w:ascii="Times New Roman" w:hAnsi="Times New Roman" w:eastAsia="Times New Roman" w:cs="Times New Roman"/>
          <w:sz w:val="20"/>
          <w:szCs w:val="20"/>
          <w:lang w:eastAsia="zh-CN"/>
        </w:rPr>
      </w:pPr>
      <w:r>
        <w:rPr>
          <w:rFonts w:eastAsia="Times New Roman" w:cs="Times New Roman" w:ascii="Times New Roman" w:hAnsi="Times New Roman"/>
          <w:sz w:val="20"/>
          <w:szCs w:val="20"/>
          <w:lang w:eastAsia="zh-CN"/>
        </w:rPr>
      </w:r>
    </w:p>
    <w:p>
      <w:pPr>
        <w:pStyle w:val="Normal"/>
        <w:tabs>
          <w:tab w:val="clear" w:pos="708"/>
          <w:tab w:val="left" w:pos="1811" w:leader="none"/>
        </w:tabs>
        <w:suppressAutoHyphens w:val="true"/>
        <w:jc w:val="center"/>
        <w:rPr>
          <w:rFonts w:ascii="Times New Roman" w:hAnsi="Times New Roman" w:eastAsia="Times New Roman" w:cs="Times New Roman"/>
          <w:sz w:val="20"/>
          <w:szCs w:val="20"/>
          <w:lang w:eastAsia="zh-CN"/>
        </w:rPr>
      </w:pPr>
      <w:r>
        <w:rPr>
          <w:rFonts w:eastAsia="Times New Roman" w:cs="Times New Roman" w:ascii="Times New Roman" w:hAnsi="Times New Roman"/>
          <w:sz w:val="20"/>
          <w:szCs w:val="20"/>
          <w:lang w:eastAsia="zh-CN"/>
        </w:rPr>
      </w:r>
    </w:p>
    <w:p>
      <w:pPr>
        <w:pStyle w:val="Normal"/>
        <w:tabs>
          <w:tab w:val="clear" w:pos="708"/>
          <w:tab w:val="left" w:pos="1811" w:leader="none"/>
        </w:tabs>
        <w:suppressAutoHyphens w:val="true"/>
        <w:jc w:val="center"/>
        <w:rPr>
          <w:rFonts w:ascii="Times New Roman" w:hAnsi="Times New Roman" w:eastAsia="Times New Roman" w:cs="Times New Roman"/>
          <w:sz w:val="20"/>
          <w:szCs w:val="20"/>
          <w:lang w:eastAsia="zh-CN"/>
        </w:rPr>
      </w:pPr>
      <w:r>
        <w:rPr>
          <w:rFonts w:eastAsia="Times New Roman" w:cs="Times New Roman" w:ascii="Times New Roman" w:hAnsi="Times New Roman"/>
          <w:sz w:val="20"/>
          <w:szCs w:val="20"/>
          <w:lang w:eastAsia="zh-CN"/>
        </w:rPr>
      </w:r>
    </w:p>
    <w:p>
      <w:pPr>
        <w:pStyle w:val="Normal"/>
        <w:tabs>
          <w:tab w:val="clear" w:pos="708"/>
          <w:tab w:val="left" w:pos="1811" w:leader="none"/>
        </w:tabs>
        <w:suppressAutoHyphens w:val="true"/>
        <w:jc w:val="center"/>
        <w:rPr>
          <w:rFonts w:ascii="Times New Roman" w:hAnsi="Times New Roman" w:eastAsia="Times New Roman" w:cs="Times New Roman"/>
          <w:sz w:val="20"/>
          <w:szCs w:val="20"/>
          <w:lang w:eastAsia="zh-CN"/>
        </w:rPr>
      </w:pPr>
      <w:r>
        <w:rPr>
          <w:rFonts w:eastAsia="Times New Roman" w:cs="Times New Roman" w:ascii="Times New Roman" w:hAnsi="Times New Roman"/>
          <w:sz w:val="20"/>
          <w:szCs w:val="20"/>
          <w:lang w:eastAsia="zh-CN"/>
        </w:rPr>
      </w:r>
      <w:bookmarkStart w:id="3" w:name="_Hlk153989495"/>
      <w:bookmarkStart w:id="4" w:name="_Hlk153989495"/>
      <w:bookmarkEnd w:id="4"/>
    </w:p>
    <w:p>
      <w:pPr>
        <w:pStyle w:val="Normal"/>
        <w:spacing w:lineRule="auto" w:line="360"/>
        <w:jc w:val="center"/>
        <w:rPr>
          <w:rFonts w:cs="Arial"/>
          <w:b/>
          <w:b/>
          <w:bCs/>
          <w:szCs w:val="24"/>
        </w:rPr>
      </w:pPr>
      <w:r>
        <w:rPr>
          <w:rFonts w:cs="Arial"/>
          <w:b/>
          <w:bCs/>
          <w:szCs w:val="24"/>
        </w:rPr>
      </w:r>
    </w:p>
    <w:p>
      <w:pPr>
        <w:pStyle w:val="Normal"/>
        <w:spacing w:lineRule="auto" w:line="360"/>
        <w:jc w:val="center"/>
        <w:rPr>
          <w:rFonts w:cs="Arial"/>
          <w:b/>
          <w:b/>
          <w:bCs/>
          <w:szCs w:val="24"/>
        </w:rPr>
      </w:pPr>
      <w:r>
        <w:rPr>
          <w:rFonts w:cs="Arial"/>
          <w:b/>
          <w:bCs/>
          <w:szCs w:val="24"/>
        </w:rPr>
        <w:drawing>
          <wp:anchor behindDoc="1" distT="0" distB="0" distL="0" distR="0" simplePos="0" locked="0" layoutInCell="1" allowOverlap="1" relativeHeight="5">
            <wp:simplePos x="0" y="0"/>
            <wp:positionH relativeFrom="page">
              <wp:posOffset>6985</wp:posOffset>
            </wp:positionH>
            <wp:positionV relativeFrom="paragraph">
              <wp:posOffset>-1079500</wp:posOffset>
            </wp:positionV>
            <wp:extent cx="7553325" cy="8314690"/>
            <wp:effectExtent l="0" t="0" r="0" b="0"/>
            <wp:wrapNone/>
            <wp:docPr id="7" name="Figura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igura1" descr=""/>
                    <pic:cNvPicPr>
                      <a:picLocks noChangeAspect="1" noChangeArrowheads="1"/>
                    </pic:cNvPicPr>
                  </pic:nvPicPr>
                  <pic:blipFill>
                    <a:blip r:embed="rId5"/>
                    <a:stretch>
                      <a:fillRect/>
                    </a:stretch>
                  </pic:blipFill>
                  <pic:spPr bwMode="auto">
                    <a:xfrm>
                      <a:off x="0" y="0"/>
                      <a:ext cx="7553325" cy="8314690"/>
                    </a:xfrm>
                    <a:prstGeom prst="rect">
                      <a:avLst/>
                    </a:prstGeom>
                  </pic:spPr>
                </pic:pic>
              </a:graphicData>
            </a:graphic>
          </wp:anchor>
        </w:drawing>
      </w:r>
    </w:p>
    <w:p>
      <w:pPr>
        <w:pStyle w:val="Normal"/>
        <w:spacing w:lineRule="auto" w:line="360"/>
        <w:jc w:val="center"/>
        <w:rPr>
          <w:rFonts w:cs="Arial"/>
          <w:b/>
          <w:b/>
          <w:bCs/>
          <w:szCs w:val="24"/>
        </w:rPr>
      </w:pPr>
      <w:r>
        <w:rPr>
          <w:rFonts w:cs="Arial"/>
          <w:b/>
          <w:bCs/>
          <w:szCs w:val="24"/>
        </w:rPr>
      </w:r>
    </w:p>
    <w:p>
      <w:pPr>
        <w:pStyle w:val="Normal"/>
        <w:spacing w:lineRule="auto" w:line="360"/>
        <w:jc w:val="center"/>
        <w:rPr>
          <w:rFonts w:cs="Arial"/>
          <w:b/>
          <w:b/>
          <w:bCs/>
          <w:szCs w:val="24"/>
        </w:rPr>
      </w:pPr>
      <w:r>
        <w:rPr>
          <w:rFonts w:cs="Arial"/>
          <w:b/>
          <w:bCs/>
          <w:szCs w:val="24"/>
        </w:rPr>
      </w:r>
    </w:p>
    <w:p>
      <w:pPr>
        <w:pStyle w:val="Normal"/>
        <w:spacing w:lineRule="auto" w:line="360"/>
        <w:jc w:val="center"/>
        <w:rPr>
          <w:rFonts w:cs="Arial"/>
          <w:b/>
          <w:b/>
          <w:bCs/>
          <w:szCs w:val="24"/>
        </w:rPr>
      </w:pPr>
      <w:r>
        <w:rPr>
          <w:rFonts w:cs="Arial"/>
          <w:b/>
          <w:bCs/>
          <w:szCs w:val="24"/>
        </w:rPr>
      </w:r>
    </w:p>
    <w:p>
      <w:pPr>
        <w:pStyle w:val="Normal"/>
        <w:spacing w:lineRule="auto" w:line="360"/>
        <w:jc w:val="center"/>
        <w:rPr>
          <w:rFonts w:cs="Arial"/>
          <w:b/>
          <w:b/>
          <w:bCs/>
          <w:i/>
          <w:i/>
          <w:iCs/>
          <w:szCs w:val="24"/>
        </w:rPr>
      </w:pPr>
      <w:r>
        <w:rPr>
          <w:rFonts w:cs="Arial"/>
          <w:b/>
          <w:bCs/>
          <w:i/>
          <w:iCs/>
          <w:szCs w:val="24"/>
        </w:rPr>
      </w:r>
    </w:p>
    <w:p>
      <w:pPr>
        <w:pStyle w:val="Normal"/>
        <w:spacing w:lineRule="auto" w:line="360"/>
        <w:jc w:val="center"/>
        <w:rPr>
          <w:rFonts w:cs="Arial"/>
          <w:b/>
          <w:b/>
          <w:bCs/>
          <w:i/>
          <w:i/>
          <w:iCs/>
          <w:szCs w:val="24"/>
        </w:rPr>
      </w:pPr>
      <w:r>
        <w:rPr>
          <w:rFonts w:cs="Arial"/>
          <w:b/>
          <w:bCs/>
          <w:i/>
          <w:iCs/>
          <w:szCs w:val="24"/>
        </w:rPr>
      </w:r>
    </w:p>
    <w:p>
      <w:pPr>
        <w:pStyle w:val="Normal"/>
        <w:spacing w:lineRule="auto" w:line="360"/>
        <w:jc w:val="center"/>
        <w:rPr>
          <w:rFonts w:cs="Arial"/>
          <w:b/>
          <w:b/>
          <w:bCs/>
          <w:i/>
          <w:i/>
          <w:iCs/>
          <w:szCs w:val="24"/>
        </w:rPr>
      </w:pPr>
      <w:r>
        <w:rPr>
          <w:rFonts w:cs="Arial"/>
          <w:b/>
          <w:bCs/>
          <w:i/>
          <w:iCs/>
          <w:szCs w:val="24"/>
        </w:rPr>
      </w:r>
    </w:p>
    <w:p>
      <w:pPr>
        <w:pStyle w:val="Normal"/>
        <w:spacing w:lineRule="auto" w:line="360"/>
        <w:jc w:val="center"/>
        <w:rPr>
          <w:rFonts w:cs="Arial"/>
          <w:b/>
          <w:b/>
          <w:bCs/>
          <w:szCs w:val="24"/>
        </w:rPr>
      </w:pPr>
      <w:r>
        <w:rPr>
          <w:rFonts w:cs="Arial"/>
          <w:b/>
          <w:bCs/>
          <w:szCs w:val="24"/>
        </w:rPr>
      </w:r>
    </w:p>
    <w:p>
      <w:pPr>
        <w:pStyle w:val="Normal"/>
        <w:spacing w:lineRule="auto" w:line="360"/>
        <w:jc w:val="center"/>
        <w:rPr>
          <w:rFonts w:cs="Arial"/>
          <w:b/>
          <w:b/>
          <w:bCs/>
          <w:szCs w:val="24"/>
        </w:rPr>
      </w:pPr>
      <w:r>
        <w:rPr>
          <w:rFonts w:cs="Arial"/>
          <w:b/>
          <w:bCs/>
          <w:szCs w:val="24"/>
        </w:rPr>
      </w:r>
    </w:p>
    <w:p>
      <w:pPr>
        <w:pStyle w:val="Normal"/>
        <w:spacing w:lineRule="auto" w:line="360"/>
        <w:jc w:val="center"/>
        <w:rPr>
          <w:rFonts w:cs="Arial"/>
          <w:b/>
          <w:b/>
          <w:bCs/>
          <w:szCs w:val="24"/>
        </w:rPr>
      </w:pPr>
      <w:r>
        <w:rPr>
          <w:rFonts w:cs="Arial"/>
          <w:b/>
          <w:bCs/>
          <w:szCs w:val="24"/>
        </w:rPr>
      </w:r>
    </w:p>
    <w:p>
      <w:pPr>
        <w:pStyle w:val="Normal"/>
        <w:spacing w:lineRule="auto" w:line="360"/>
        <w:jc w:val="center"/>
        <w:rPr>
          <w:rFonts w:cs="Arial"/>
          <w:b/>
          <w:b/>
          <w:bCs/>
          <w:szCs w:val="24"/>
        </w:rPr>
      </w:pPr>
      <w:r>
        <w:rPr>
          <w:rFonts w:cs="Arial"/>
          <w:b/>
          <w:bCs/>
          <w:szCs w:val="24"/>
        </w:rPr>
      </w:r>
    </w:p>
    <w:p>
      <w:pPr>
        <w:pStyle w:val="Normal"/>
        <w:spacing w:lineRule="auto" w:line="360"/>
        <w:rPr>
          <w:rFonts w:cs="Arial"/>
          <w:b/>
          <w:b/>
          <w:bCs/>
          <w:szCs w:val="24"/>
        </w:rPr>
      </w:pPr>
      <w:r>
        <w:rPr>
          <w:rFonts w:cs="Arial"/>
          <w:b/>
          <w:bCs/>
          <w:szCs w:val="24"/>
        </w:rPr>
      </w:r>
    </w:p>
    <w:p>
      <w:pPr>
        <w:pStyle w:val="Normal"/>
        <w:spacing w:lineRule="auto" w:line="360"/>
        <w:rPr>
          <w:rFonts w:cs="Arial"/>
          <w:b/>
          <w:b/>
          <w:bCs/>
          <w:szCs w:val="24"/>
        </w:rPr>
      </w:pPr>
      <w:r>
        <w:rPr>
          <w:rFonts w:cs="Arial"/>
          <w:b/>
          <w:bCs/>
          <w:szCs w:val="24"/>
        </w:rPr>
      </w:r>
    </w:p>
    <w:p>
      <w:pPr>
        <w:pStyle w:val="Normal"/>
        <w:spacing w:lineRule="auto" w:line="360"/>
        <w:rPr>
          <w:rFonts w:cs="Arial"/>
          <w:b/>
          <w:b/>
          <w:bCs/>
          <w:szCs w:val="24"/>
        </w:rPr>
      </w:pPr>
      <w:r>
        <w:rPr>
          <w:rFonts w:cs="Arial"/>
          <w:b/>
          <w:bCs/>
          <w:szCs w:val="24"/>
        </w:rPr>
      </w:r>
    </w:p>
    <w:p>
      <w:pPr>
        <w:pStyle w:val="Normal"/>
        <w:spacing w:lineRule="auto" w:line="360"/>
        <w:rPr>
          <w:rFonts w:cs="Arial"/>
          <w:b/>
          <w:b/>
          <w:bCs/>
          <w:szCs w:val="24"/>
        </w:rPr>
      </w:pPr>
      <w:r>
        <w:rPr>
          <w:rFonts w:cs="Arial"/>
          <w:b/>
          <w:bCs/>
          <w:szCs w:val="24"/>
        </w:rPr>
      </w:r>
    </w:p>
    <w:p>
      <w:pPr>
        <w:pStyle w:val="Normal"/>
        <w:spacing w:lineRule="auto" w:line="360"/>
        <w:rPr>
          <w:rFonts w:cs="Arial"/>
          <w:b/>
          <w:b/>
          <w:bCs/>
          <w:szCs w:val="24"/>
        </w:rPr>
      </w:pPr>
      <w:r>
        <w:rPr>
          <w:rFonts w:cs="Arial"/>
          <w:b/>
          <w:bCs/>
          <w:szCs w:val="24"/>
        </w:rPr>
      </w:r>
    </w:p>
    <w:p>
      <w:pPr>
        <w:pStyle w:val="Normal"/>
        <w:spacing w:lineRule="auto" w:line="360"/>
        <w:rPr>
          <w:rFonts w:cs="Arial"/>
          <w:b/>
          <w:b/>
          <w:bCs/>
          <w:szCs w:val="24"/>
        </w:rPr>
      </w:pPr>
      <w:r>
        <w:rPr>
          <w:rFonts w:cs="Arial"/>
          <w:b/>
          <w:bCs/>
          <w:szCs w:val="24"/>
        </w:rPr>
      </w:r>
    </w:p>
    <w:p>
      <w:pPr>
        <w:pStyle w:val="Normal"/>
        <w:spacing w:lineRule="auto" w:line="360"/>
        <w:rPr>
          <w:rFonts w:cs="Arial"/>
          <w:b/>
          <w:b/>
          <w:bCs/>
          <w:szCs w:val="24"/>
        </w:rPr>
      </w:pPr>
      <w:r>
        <w:rPr>
          <w:rFonts w:cs="Arial"/>
          <w:b/>
          <w:bCs/>
          <w:szCs w:val="24"/>
        </w:rPr>
      </w:r>
    </w:p>
    <w:p>
      <w:pPr>
        <w:pStyle w:val="Normal"/>
        <w:spacing w:lineRule="auto" w:line="360"/>
        <w:rPr>
          <w:rFonts w:cs="Arial"/>
          <w:b/>
          <w:b/>
          <w:bCs/>
          <w:szCs w:val="24"/>
        </w:rPr>
      </w:pPr>
      <w:r>
        <w:rPr>
          <w:rFonts w:cs="Arial"/>
          <w:b/>
          <w:bCs/>
          <w:szCs w:val="24"/>
        </w:rPr>
      </w:r>
    </w:p>
    <w:p>
      <w:pPr>
        <w:pStyle w:val="Normal"/>
        <w:spacing w:lineRule="auto" w:line="360"/>
        <w:rPr>
          <w:rFonts w:cs="Arial"/>
          <w:b/>
          <w:b/>
          <w:bCs/>
          <w:szCs w:val="24"/>
        </w:rPr>
      </w:pPr>
      <w:r>
        <w:rPr>
          <w:rFonts w:cs="Arial"/>
          <w:b/>
          <w:bCs/>
          <w:szCs w:val="24"/>
        </w:rPr>
      </w:r>
    </w:p>
    <w:p>
      <w:pPr>
        <w:pStyle w:val="Normal"/>
        <w:spacing w:lineRule="auto" w:line="360"/>
        <w:rPr>
          <w:rFonts w:cs="Arial"/>
          <w:b/>
          <w:b/>
          <w:bCs/>
          <w:szCs w:val="24"/>
        </w:rPr>
      </w:pPr>
      <w:r>
        <w:rPr>
          <w:rFonts w:cs="Arial"/>
          <w:b/>
          <w:bCs/>
          <w:szCs w:val="24"/>
        </w:rPr>
      </w:r>
    </w:p>
    <w:p>
      <w:pPr>
        <w:pStyle w:val="Normal"/>
        <w:spacing w:lineRule="auto" w:line="360"/>
        <w:rPr>
          <w:rFonts w:cs="Arial"/>
          <w:b/>
          <w:b/>
          <w:bCs/>
          <w:szCs w:val="24"/>
        </w:rPr>
      </w:pPr>
      <w:r>
        <w:rPr>
          <w:rFonts w:cs="Arial"/>
          <w:b/>
          <w:bCs/>
          <w:szCs w:val="24"/>
        </w:rPr>
      </w:r>
    </w:p>
    <w:p>
      <w:pPr>
        <w:pStyle w:val="Normal"/>
        <w:spacing w:lineRule="auto" w:line="360"/>
        <w:rPr>
          <w:rFonts w:cs="Arial"/>
          <w:b/>
          <w:b/>
          <w:bCs/>
          <w:szCs w:val="24"/>
        </w:rPr>
      </w:pPr>
      <w:r>
        <w:rPr>
          <w:rFonts w:cs="Arial"/>
          <w:b/>
          <w:bCs/>
          <w:szCs w:val="24"/>
        </w:rPr>
      </w:r>
    </w:p>
    <w:p>
      <w:pPr>
        <w:pStyle w:val="Normal"/>
        <w:spacing w:lineRule="auto" w:line="360"/>
        <w:rPr>
          <w:rFonts w:cs="Arial"/>
          <w:b/>
          <w:b/>
          <w:bCs/>
          <w:szCs w:val="24"/>
        </w:rPr>
      </w:pPr>
      <w:r>
        <w:rPr>
          <w:rFonts w:cs="Arial"/>
          <w:b/>
          <w:bCs/>
          <w:szCs w:val="24"/>
        </w:rPr>
      </w:r>
    </w:p>
    <w:p>
      <w:pPr>
        <w:pStyle w:val="Normal"/>
        <w:spacing w:lineRule="auto" w:line="360"/>
        <w:jc w:val="center"/>
        <w:rPr>
          <w:rFonts w:cs="Arial"/>
          <w:b/>
          <w:b/>
          <w:bCs/>
          <w:szCs w:val="24"/>
        </w:rPr>
      </w:pPr>
      <w:r>
        <w:rPr>
          <w:rFonts w:cs="Arial"/>
          <w:b/>
          <w:bCs/>
          <w:szCs w:val="24"/>
        </w:rPr>
      </w:r>
    </w:p>
    <w:p>
      <w:pPr>
        <w:pStyle w:val="Normal"/>
        <w:spacing w:lineRule="auto" w:line="360"/>
        <w:jc w:val="center"/>
        <w:rPr>
          <w:rFonts w:cs="Arial"/>
          <w:b/>
          <w:b/>
          <w:bCs/>
          <w:szCs w:val="24"/>
        </w:rPr>
      </w:pPr>
      <w:r>
        <w:rPr>
          <w:rFonts w:cs="Arial"/>
          <w:b/>
          <w:bCs/>
          <w:szCs w:val="24"/>
        </w:rPr>
      </w:r>
    </w:p>
    <w:p>
      <w:pPr>
        <w:pStyle w:val="Normal"/>
        <w:spacing w:lineRule="auto" w:line="360"/>
        <w:jc w:val="center"/>
        <w:rPr>
          <w:rFonts w:cs="Arial"/>
          <w:b/>
          <w:b/>
          <w:bCs/>
          <w:szCs w:val="24"/>
        </w:rPr>
      </w:pPr>
      <w:r>
        <w:rPr>
          <w:rFonts w:cs="Arial"/>
          <w:b/>
          <w:bCs/>
          <w:szCs w:val="24"/>
        </w:rPr>
      </w:r>
    </w:p>
    <w:p>
      <w:pPr>
        <w:pStyle w:val="Normal"/>
        <w:spacing w:lineRule="auto" w:line="360"/>
        <w:jc w:val="center"/>
        <w:rPr>
          <w:rFonts w:cs="Arial"/>
          <w:b/>
          <w:b/>
          <w:bCs/>
          <w:szCs w:val="24"/>
        </w:rPr>
      </w:pPr>
      <w:r>
        <w:rPr>
          <w:rFonts w:cs="Arial"/>
          <w:b/>
          <w:bCs/>
          <w:szCs w:val="24"/>
        </w:rPr>
      </w:r>
    </w:p>
    <w:p>
      <w:pPr>
        <w:pStyle w:val="Normal"/>
        <w:spacing w:lineRule="auto" w:line="360"/>
        <w:jc w:val="center"/>
        <w:rPr>
          <w:rFonts w:cs="Arial"/>
          <w:b/>
          <w:b/>
          <w:bCs/>
          <w:szCs w:val="24"/>
        </w:rPr>
      </w:pPr>
      <w:r>
        <w:rPr>
          <w:rFonts w:cs="Arial"/>
          <w:b/>
          <w:bCs/>
          <w:szCs w:val="24"/>
        </w:rPr>
      </w:r>
    </w:p>
    <w:p>
      <w:pPr>
        <w:pStyle w:val="Normal"/>
        <w:spacing w:lineRule="auto" w:line="360"/>
        <w:jc w:val="center"/>
        <w:rPr>
          <w:rFonts w:cs="Arial"/>
          <w:b/>
          <w:b/>
          <w:bCs/>
          <w:szCs w:val="24"/>
        </w:rPr>
      </w:pPr>
      <w:r>
        <w:rPr>
          <w:rFonts w:cs="Arial"/>
          <w:b/>
          <w:bCs/>
          <w:szCs w:val="24"/>
        </w:rPr>
      </w:r>
    </w:p>
    <w:p>
      <w:pPr>
        <w:pStyle w:val="Normal"/>
        <w:spacing w:lineRule="auto" w:line="360"/>
        <w:jc w:val="center"/>
        <w:rPr>
          <w:rFonts w:cs="Arial"/>
          <w:b/>
          <w:b/>
          <w:bCs/>
          <w:szCs w:val="24"/>
        </w:rPr>
      </w:pPr>
      <w:r>
        <w:rPr>
          <w:rFonts w:cs="Arial"/>
          <w:b/>
          <w:bCs/>
          <w:szCs w:val="24"/>
        </w:rPr>
      </w:r>
    </w:p>
    <w:p>
      <w:pPr>
        <w:pStyle w:val="Normal"/>
        <w:spacing w:lineRule="auto" w:line="360"/>
        <w:jc w:val="center"/>
        <w:rPr>
          <w:rFonts w:cs="Arial"/>
          <w:b/>
          <w:b/>
          <w:bCs/>
          <w:szCs w:val="24"/>
        </w:rPr>
      </w:pPr>
      <w:r>
        <w:rPr>
          <w:rFonts w:cs="Arial"/>
          <w:b/>
          <w:bCs/>
          <w:szCs w:val="24"/>
        </w:rPr>
      </w:r>
    </w:p>
    <w:p>
      <w:pPr>
        <w:pStyle w:val="Normal"/>
        <w:spacing w:lineRule="auto" w:line="360"/>
        <w:jc w:val="center"/>
        <w:rPr>
          <w:rFonts w:cs="Arial"/>
          <w:b/>
          <w:b/>
          <w:bCs/>
          <w:szCs w:val="24"/>
        </w:rPr>
      </w:pPr>
      <w:r>
        <w:rPr>
          <w:rFonts w:cs="Arial"/>
          <w:b/>
          <w:bCs/>
          <w:szCs w:val="24"/>
        </w:rPr>
      </w:r>
    </w:p>
    <w:p>
      <w:pPr>
        <w:pStyle w:val="Normal"/>
        <w:spacing w:lineRule="auto" w:line="360"/>
        <w:jc w:val="center"/>
        <w:rPr>
          <w:rFonts w:cs="Arial"/>
          <w:b/>
          <w:b/>
          <w:bCs/>
          <w:szCs w:val="24"/>
        </w:rPr>
      </w:pPr>
      <w:r>
        <w:rPr>
          <w:rFonts w:cs="Arial"/>
          <w:b/>
          <w:bCs/>
          <w:szCs w:val="24"/>
        </w:rPr>
      </w:r>
    </w:p>
    <w:p>
      <w:pPr>
        <w:pStyle w:val="Normal"/>
        <w:spacing w:lineRule="auto" w:line="360"/>
        <w:jc w:val="center"/>
        <w:rPr>
          <w:rFonts w:cs="Arial"/>
          <w:b/>
          <w:b/>
          <w:bCs/>
          <w:szCs w:val="24"/>
        </w:rPr>
      </w:pPr>
      <w:r>
        <w:rPr>
          <w:rFonts w:cs="Arial"/>
          <w:b/>
          <w:bCs/>
          <w:szCs w:val="24"/>
        </w:rPr>
        <w:t>AGRADECIMENTOS</w:t>
      </w:r>
    </w:p>
    <w:p>
      <w:pPr>
        <w:pStyle w:val="Normal"/>
        <w:spacing w:lineRule="auto" w:line="360"/>
        <w:jc w:val="center"/>
        <w:rPr>
          <w:rFonts w:cs="Arial"/>
          <w:szCs w:val="24"/>
        </w:rPr>
      </w:pPr>
      <w:r>
        <w:rPr>
          <w:rFonts w:cs="Arial"/>
          <w:szCs w:val="24"/>
        </w:rPr>
      </w:r>
    </w:p>
    <w:p>
      <w:pPr>
        <w:pStyle w:val="ListParagraph"/>
        <w:rPr/>
      </w:pPr>
      <w:r>
        <w:rPr/>
        <w:t>Gostaria de expressar meus sinceros agradecimentos a Deus, cuja infinita graça e orientação me concederam a saúde e determinação necessárias para concluir esta jornada acadêmica. Dedico meu profundo reconhecimento à minha querida mãe e à minha irmã, cujo apoio constante e crença inabalável em mim foram fundamentais durante todo este percurso.</w:t>
      </w:r>
    </w:p>
    <w:p>
      <w:pPr>
        <w:pStyle w:val="ListParagraph"/>
        <w:rPr/>
      </w:pPr>
      <w:r>
        <w:rPr/>
        <w:t>Ao Professor Me Humberto Rodrigues Mariano, meu orientador, expresso minha gratidão por aceitar o desafio de me orientar, dedicando seu tempo e expertise ao longo deste ano. Sua orientação e conselhos foram inestimáveis e enriqueceram o desenvolvimento deste trabalho.</w:t>
      </w:r>
    </w:p>
    <w:p>
      <w:pPr>
        <w:pStyle w:val="ListParagraph"/>
        <w:rPr/>
      </w:pPr>
      <w:r>
        <w:rPr/>
        <w:t>À Professora Me Marcela Leão Domiciano, agradeço por acreditar em minha ideia e por sua disposição constante em me orientar e corrigir meu trabalho. Mesmo diante de circunstâncias desafiadoras, sua presença em algumas visitas e a prontidão em me auxiliar nunca foram postas em dúvida, demonstrando um comprometimento exemplar.</w:t>
      </w:r>
    </w:p>
    <w:p>
      <w:pPr>
        <w:pStyle w:val="ListParagraph"/>
        <w:rPr/>
      </w:pPr>
      <w:r>
        <w:rPr/>
        <w:t xml:space="preserve">Expresso minha gratidão ao Instituto Federal de Educação, Ciência e Tecnologia de Goiás pela oportunidade concedida para mais uma graduação. </w:t>
      </w:r>
    </w:p>
    <w:p>
      <w:pPr>
        <w:pStyle w:val="ListParagraph"/>
        <w:rPr/>
      </w:pPr>
      <w:r>
        <w:rPr/>
        <w:t>Por fim, estendo meus agradecimentos a todo o corpo docente do curso de Engenharia Civil do IFG. Sua dedicação em compartilhar conhecimento e contribuir significativamente para minha formação é inegável. Cada um de vocês desempenhou um papel crucial em minha jornada, e por isso, expresso minha profunda gratidão.</w:t>
      </w:r>
    </w:p>
    <w:p>
      <w:pPr>
        <w:pStyle w:val="Normal"/>
        <w:jc w:val="center"/>
        <w:rPr>
          <w:rFonts w:cs="Arial"/>
          <w:b/>
          <w:b/>
          <w:bCs/>
          <w:szCs w:val="24"/>
        </w:rPr>
      </w:pPr>
      <w:r>
        <w:rPr>
          <w:rFonts w:cs="Arial"/>
          <w:b/>
          <w:bCs/>
          <w:szCs w:val="24"/>
        </w:rPr>
      </w:r>
    </w:p>
    <w:p>
      <w:pPr>
        <w:pStyle w:val="Normal"/>
        <w:jc w:val="center"/>
        <w:rPr>
          <w:rFonts w:cs="Arial"/>
          <w:b/>
          <w:b/>
          <w:bCs/>
          <w:szCs w:val="24"/>
        </w:rPr>
      </w:pPr>
      <w:r>
        <w:rPr>
          <w:rFonts w:cs="Arial"/>
          <w:b/>
          <w:bCs/>
          <w:szCs w:val="24"/>
        </w:rPr>
      </w:r>
    </w:p>
    <w:p>
      <w:pPr>
        <w:pStyle w:val="Normal"/>
        <w:jc w:val="center"/>
        <w:rPr>
          <w:rFonts w:cs="Arial"/>
          <w:b/>
          <w:b/>
          <w:bCs/>
          <w:szCs w:val="24"/>
        </w:rPr>
      </w:pPr>
      <w:r>
        <w:rPr>
          <w:rFonts w:cs="Arial"/>
          <w:b/>
          <w:bCs/>
          <w:szCs w:val="24"/>
        </w:rPr>
      </w:r>
    </w:p>
    <w:p>
      <w:pPr>
        <w:pStyle w:val="Normal"/>
        <w:jc w:val="center"/>
        <w:rPr>
          <w:rFonts w:cs="Arial"/>
          <w:b/>
          <w:b/>
          <w:bCs/>
          <w:szCs w:val="24"/>
        </w:rPr>
      </w:pPr>
      <w:r>
        <w:rPr>
          <w:rFonts w:cs="Arial"/>
          <w:b/>
          <w:bCs/>
          <w:szCs w:val="24"/>
        </w:rPr>
      </w:r>
    </w:p>
    <w:p>
      <w:pPr>
        <w:pStyle w:val="Normal"/>
        <w:jc w:val="center"/>
        <w:rPr>
          <w:rFonts w:cs="Arial"/>
          <w:b/>
          <w:b/>
          <w:bCs/>
          <w:szCs w:val="24"/>
        </w:rPr>
      </w:pPr>
      <w:r>
        <w:rPr>
          <w:rFonts w:cs="Arial"/>
          <w:b/>
          <w:bCs/>
          <w:szCs w:val="24"/>
        </w:rPr>
      </w:r>
    </w:p>
    <w:p>
      <w:pPr>
        <w:pStyle w:val="Normal"/>
        <w:jc w:val="center"/>
        <w:rPr>
          <w:rFonts w:cs="Arial"/>
          <w:b/>
          <w:b/>
          <w:bCs/>
          <w:szCs w:val="24"/>
        </w:rPr>
      </w:pPr>
      <w:r>
        <w:rPr>
          <w:rFonts w:cs="Arial"/>
          <w:b/>
          <w:bCs/>
          <w:szCs w:val="24"/>
        </w:rPr>
      </w:r>
    </w:p>
    <w:p>
      <w:pPr>
        <w:pStyle w:val="Normal"/>
        <w:jc w:val="center"/>
        <w:rPr>
          <w:rFonts w:cs="Arial"/>
          <w:b/>
          <w:b/>
          <w:bCs/>
          <w:szCs w:val="24"/>
        </w:rPr>
      </w:pPr>
      <w:r>
        <w:rPr>
          <w:rFonts w:cs="Arial"/>
          <w:b/>
          <w:bCs/>
          <w:szCs w:val="24"/>
        </w:rPr>
      </w:r>
    </w:p>
    <w:p>
      <w:pPr>
        <w:pStyle w:val="Normal"/>
        <w:jc w:val="center"/>
        <w:rPr>
          <w:rFonts w:cs="Arial"/>
          <w:b/>
          <w:b/>
          <w:bCs/>
          <w:szCs w:val="24"/>
        </w:rPr>
      </w:pPr>
      <w:r>
        <w:rPr>
          <w:rFonts w:cs="Arial"/>
          <w:b/>
          <w:bCs/>
          <w:szCs w:val="24"/>
        </w:rPr>
      </w:r>
    </w:p>
    <w:p>
      <w:pPr>
        <w:pStyle w:val="Normal"/>
        <w:jc w:val="center"/>
        <w:rPr>
          <w:rFonts w:cs="Arial"/>
          <w:b/>
          <w:b/>
          <w:bCs/>
          <w:szCs w:val="24"/>
        </w:rPr>
      </w:pPr>
      <w:r>
        <w:rPr>
          <w:rFonts w:cs="Arial"/>
          <w:b/>
          <w:bCs/>
          <w:szCs w:val="24"/>
        </w:rPr>
      </w:r>
    </w:p>
    <w:p>
      <w:pPr>
        <w:pStyle w:val="Normal"/>
        <w:jc w:val="center"/>
        <w:rPr>
          <w:rFonts w:cs="Arial"/>
          <w:b/>
          <w:b/>
          <w:bCs/>
          <w:szCs w:val="24"/>
        </w:rPr>
      </w:pPr>
      <w:r>
        <w:rPr>
          <w:rFonts w:cs="Arial"/>
          <w:b/>
          <w:bCs/>
          <w:szCs w:val="24"/>
        </w:rPr>
      </w:r>
    </w:p>
    <w:p>
      <w:pPr>
        <w:pStyle w:val="Normal"/>
        <w:jc w:val="center"/>
        <w:rPr>
          <w:rFonts w:cs="Arial"/>
          <w:b/>
          <w:b/>
          <w:bCs/>
          <w:szCs w:val="24"/>
        </w:rPr>
      </w:pPr>
      <w:r>
        <w:rPr>
          <w:rFonts w:cs="Arial"/>
          <w:b/>
          <w:bCs/>
          <w:szCs w:val="24"/>
        </w:rPr>
      </w:r>
    </w:p>
    <w:p>
      <w:pPr>
        <w:pStyle w:val="Normal"/>
        <w:jc w:val="center"/>
        <w:rPr>
          <w:rFonts w:cs="Arial"/>
          <w:b/>
          <w:b/>
          <w:bCs/>
          <w:szCs w:val="24"/>
        </w:rPr>
      </w:pPr>
      <w:r>
        <w:rPr>
          <w:rFonts w:cs="Arial"/>
          <w:b/>
          <w:bCs/>
          <w:szCs w:val="24"/>
        </w:rPr>
      </w:r>
    </w:p>
    <w:p>
      <w:pPr>
        <w:pStyle w:val="Normal"/>
        <w:jc w:val="center"/>
        <w:rPr>
          <w:rFonts w:cs="Arial"/>
          <w:b/>
          <w:b/>
          <w:bCs/>
          <w:szCs w:val="24"/>
        </w:rPr>
      </w:pPr>
      <w:r>
        <w:rPr>
          <w:rFonts w:cs="Arial"/>
          <w:b/>
          <w:bCs/>
          <w:szCs w:val="24"/>
        </w:rPr>
      </w:r>
    </w:p>
    <w:p>
      <w:pPr>
        <w:pStyle w:val="Normal"/>
        <w:jc w:val="center"/>
        <w:rPr>
          <w:rFonts w:cs="Arial"/>
          <w:b/>
          <w:b/>
          <w:bCs/>
          <w:szCs w:val="24"/>
        </w:rPr>
      </w:pPr>
      <w:r>
        <w:rPr>
          <w:rFonts w:cs="Arial"/>
          <w:b/>
          <w:bCs/>
          <w:szCs w:val="24"/>
        </w:rPr>
      </w:r>
    </w:p>
    <w:p>
      <w:pPr>
        <w:pStyle w:val="Normal"/>
        <w:jc w:val="center"/>
        <w:rPr>
          <w:rFonts w:cs="Arial"/>
          <w:b/>
          <w:b/>
          <w:bCs/>
          <w:szCs w:val="24"/>
        </w:rPr>
      </w:pPr>
      <w:r>
        <w:rPr>
          <w:rFonts w:cs="Arial"/>
          <w:b/>
          <w:bCs/>
          <w:szCs w:val="24"/>
        </w:rPr>
      </w:r>
    </w:p>
    <w:p>
      <w:pPr>
        <w:pStyle w:val="Normal"/>
        <w:jc w:val="center"/>
        <w:rPr>
          <w:rFonts w:cs="Arial"/>
          <w:b/>
          <w:b/>
          <w:bCs/>
          <w:szCs w:val="24"/>
        </w:rPr>
      </w:pPr>
      <w:r>
        <w:rPr>
          <w:rFonts w:cs="Arial"/>
          <w:b/>
          <w:bCs/>
          <w:szCs w:val="24"/>
        </w:rPr>
      </w:r>
    </w:p>
    <w:p>
      <w:pPr>
        <w:pStyle w:val="Normal"/>
        <w:jc w:val="center"/>
        <w:rPr>
          <w:rFonts w:cs="Arial"/>
          <w:b/>
          <w:b/>
          <w:bCs/>
          <w:szCs w:val="24"/>
        </w:rPr>
      </w:pPr>
      <w:r>
        <w:rPr>
          <w:rFonts w:cs="Arial"/>
          <w:b/>
          <w:bCs/>
          <w:szCs w:val="24"/>
        </w:rPr>
      </w:r>
    </w:p>
    <w:p>
      <w:pPr>
        <w:pStyle w:val="Normal"/>
        <w:jc w:val="center"/>
        <w:rPr>
          <w:rFonts w:cs="Arial"/>
          <w:b/>
          <w:b/>
          <w:bCs/>
          <w:szCs w:val="24"/>
        </w:rPr>
      </w:pPr>
      <w:r>
        <w:rPr>
          <w:rFonts w:cs="Arial"/>
          <w:b/>
          <w:bCs/>
          <w:szCs w:val="24"/>
        </w:rPr>
        <w:t>RESUMO</w:t>
      </w:r>
    </w:p>
    <w:p>
      <w:pPr>
        <w:pStyle w:val="Normal"/>
        <w:rPr/>
      </w:pPr>
      <w:r>
        <w:rPr/>
      </w:r>
    </w:p>
    <w:p>
      <w:pPr>
        <w:pStyle w:val="ListParagraph"/>
        <w:spacing w:lineRule="auto" w:line="240"/>
        <w:ind w:hanging="0"/>
        <w:rPr/>
      </w:pPr>
      <w:bookmarkStart w:id="5" w:name="_Hlk136872678"/>
      <w:r>
        <w:rPr/>
        <w:t xml:space="preserve">A segurança no trabalho desempenha um papel fundamental ao preservar a integridade física e mental dos trabalhadores, evitando acidentes e doenças ocupacionais. Neste sentido, as leis e normas brasileiras mostram-se fundamentais, uma vez que estabelecem diretrizes a serem cumpridas pelas empresas, o que determina e garante um ambiente de trabalho seguro, além de minimizar os riscos de acidentes. Desta forma, neste trabalho é apresentada uma análise dos principais itens da Norma Regulamentadora nº 18 (NR-18), que dispõe das diretrizes para prevenção de acidentes no meio ambiente de trabalho na indústria da construção civil. Assim, o objetivo deste trabalho é verificar a aplicabilidade dos referidos itens da NR-18 em 05 (cinco) canteiros de obras verticais na cidade de Goiânia/GO, todos na etapa de fundação, como foco em: áreas de vivência, instalações elétricas, escadas, rampas e passarelas, medidas de prevenção contra queda de altura, máquinas, equipamentos e ferramentas, andaimes e plataforma de trabalho sinalização de segurança e capacitação. Foi elaborado um </w:t>
      </w:r>
      <w:r>
        <w:rPr>
          <w:i/>
          <w:iCs/>
        </w:rPr>
        <w:t>checklist</w:t>
      </w:r>
      <w:r>
        <w:rPr/>
        <w:t xml:space="preserve"> (ficha de verificação), a fim de constatar se os canteiros de obra atendem aos itens descritos na ficha de avaliação. </w:t>
      </w:r>
      <w:bookmarkEnd w:id="5"/>
      <w:r>
        <w:rPr/>
        <w:t xml:space="preserve">Constatou-se que, dentre as cinco obras analisadas, três apresentaram resultados de conformidade superiores a 85% nos itens examinados, enquanto duas obtiveram resultados na faixa entre 70% e 80% dos itens conformes em relação a quantidade de itens avaliados em cada canteiro de obra. Os principais aspectos conformes identificados referem-se ao dimensionamento das áreas de convivência, englobando refeitório, banheiros e sanitários. Já para os itens não conformes, evidenciou-se a presença de materiais em locais inapropriados e em áreas de passagem, a ausência de Equipamentos de Proteção Individual (EPI) por parte dos trabalhadores, a presença de ferramentas manuais em locais destinados à circulação de pessoas e a falta de identificação de circuitos elétricos, bem como a exposição de partes vivas ou ausência de sinalização para o risco de choque elétrico.  Dessa forma, conclui-se que a aplicação e cumprimento da NR-18 em canteiros de obras contribui positivamente para a preservação da saúde e segurança no ambiente de trabalho. </w:t>
      </w:r>
    </w:p>
    <w:p>
      <w:pPr>
        <w:pStyle w:val="ListParagraph"/>
        <w:spacing w:lineRule="auto" w:line="240"/>
        <w:ind w:hanging="0"/>
        <w:rPr/>
      </w:pPr>
      <w:r>
        <w:rPr/>
      </w:r>
    </w:p>
    <w:p>
      <w:pPr>
        <w:pStyle w:val="Normal"/>
        <w:rPr>
          <w:b/>
          <w:b/>
          <w:bCs/>
        </w:rPr>
      </w:pPr>
      <w:r>
        <w:rPr>
          <w:b/>
          <w:bCs/>
        </w:rPr>
        <w:t xml:space="preserve">Palavras-chaves: </w:t>
      </w:r>
      <w:r>
        <w:rPr/>
        <w:t xml:space="preserve">segurança no trabalho; canteiros de obras; norma regulamentadora nº 18. </w:t>
      </w:r>
    </w:p>
    <w:p>
      <w:pPr>
        <w:pStyle w:val="Normal"/>
        <w:jc w:val="center"/>
        <w:rPr>
          <w:rFonts w:cs="Arial"/>
          <w:szCs w:val="24"/>
        </w:rPr>
      </w:pPr>
      <w:r>
        <w:rPr>
          <w:rFonts w:cs="Arial"/>
          <w:szCs w:val="24"/>
        </w:rPr>
      </w:r>
    </w:p>
    <w:p>
      <w:pPr>
        <w:pStyle w:val="Normal"/>
        <w:rPr/>
      </w:pPr>
      <w:r>
        <w:rPr/>
      </w:r>
    </w:p>
    <w:p>
      <w:pPr>
        <w:pStyle w:val="Normal"/>
        <w:jc w:val="center"/>
        <w:rPr>
          <w:rFonts w:cs="Arial"/>
          <w:szCs w:val="24"/>
        </w:rPr>
      </w:pPr>
      <w:r>
        <w:rPr>
          <w:rFonts w:cs="Arial"/>
          <w:szCs w:val="24"/>
        </w:rPr>
      </w:r>
    </w:p>
    <w:p>
      <w:pPr>
        <w:pStyle w:val="Normal"/>
        <w:jc w:val="center"/>
        <w:rPr>
          <w:rFonts w:cs="Arial"/>
          <w:szCs w:val="24"/>
        </w:rPr>
      </w:pPr>
      <w:r>
        <w:rPr>
          <w:rFonts w:cs="Arial"/>
          <w:szCs w:val="24"/>
        </w:rPr>
      </w:r>
    </w:p>
    <w:p>
      <w:pPr>
        <w:pStyle w:val="Normal"/>
        <w:jc w:val="center"/>
        <w:rPr>
          <w:rFonts w:cs="Arial"/>
          <w:szCs w:val="24"/>
        </w:rPr>
      </w:pPr>
      <w:r>
        <w:rPr>
          <w:rFonts w:cs="Arial"/>
          <w:szCs w:val="24"/>
        </w:rPr>
      </w:r>
    </w:p>
    <w:p>
      <w:pPr>
        <w:pStyle w:val="Normal"/>
        <w:jc w:val="center"/>
        <w:rPr>
          <w:rFonts w:cs="Arial"/>
          <w:szCs w:val="24"/>
        </w:rPr>
      </w:pPr>
      <w:r>
        <w:rPr>
          <w:rFonts w:cs="Arial"/>
          <w:szCs w:val="24"/>
        </w:rPr>
      </w:r>
    </w:p>
    <w:p>
      <w:pPr>
        <w:pStyle w:val="Normal"/>
        <w:jc w:val="center"/>
        <w:rPr>
          <w:rFonts w:cs="Arial"/>
          <w:szCs w:val="24"/>
        </w:rPr>
      </w:pPr>
      <w:r>
        <w:rPr>
          <w:rFonts w:cs="Arial"/>
          <w:szCs w:val="24"/>
        </w:rPr>
      </w:r>
    </w:p>
    <w:p>
      <w:pPr>
        <w:pStyle w:val="Normal"/>
        <w:jc w:val="center"/>
        <w:rPr>
          <w:rFonts w:cs="Arial"/>
          <w:szCs w:val="24"/>
        </w:rPr>
      </w:pPr>
      <w:r>
        <w:rPr>
          <w:rFonts w:cs="Arial"/>
          <w:szCs w:val="24"/>
        </w:rPr>
      </w:r>
    </w:p>
    <w:p>
      <w:pPr>
        <w:pStyle w:val="Normal"/>
        <w:jc w:val="center"/>
        <w:rPr>
          <w:rFonts w:cs="Arial"/>
          <w:szCs w:val="24"/>
        </w:rPr>
      </w:pPr>
      <w:r>
        <w:rPr>
          <w:rFonts w:cs="Arial"/>
          <w:szCs w:val="24"/>
        </w:rPr>
      </w:r>
    </w:p>
    <w:p>
      <w:pPr>
        <w:pStyle w:val="Normal"/>
        <w:spacing w:lineRule="auto" w:line="259" w:before="0" w:after="160"/>
        <w:jc w:val="left"/>
        <w:rPr>
          <w:rFonts w:cs="Arial"/>
          <w:b/>
          <w:b/>
          <w:bCs/>
          <w:szCs w:val="24"/>
        </w:rPr>
      </w:pPr>
      <w:r>
        <w:rPr>
          <w:rFonts w:cs="Arial"/>
          <w:b/>
          <w:bCs/>
          <w:szCs w:val="24"/>
        </w:rPr>
      </w:r>
      <w:r>
        <w:br w:type="page"/>
      </w:r>
    </w:p>
    <w:p>
      <w:pPr>
        <w:pStyle w:val="Normal"/>
        <w:jc w:val="center"/>
        <w:rPr>
          <w:rFonts w:cs="Arial"/>
          <w:b/>
          <w:b/>
          <w:bCs/>
          <w:szCs w:val="24"/>
        </w:rPr>
      </w:pPr>
      <w:r>
        <w:rPr>
          <w:rFonts w:cs="Arial"/>
          <w:b/>
          <w:bCs/>
          <w:szCs w:val="24"/>
        </w:rPr>
        <w:t>ABASTRACT</w:t>
      </w:r>
    </w:p>
    <w:p>
      <w:pPr>
        <w:pStyle w:val="Normal"/>
        <w:jc w:val="center"/>
        <w:rPr>
          <w:rFonts w:cs="Arial"/>
          <w:szCs w:val="24"/>
        </w:rPr>
      </w:pPr>
      <w:r>
        <w:rPr>
          <w:rFonts w:cs="Arial"/>
          <w:szCs w:val="24"/>
        </w:rPr>
      </w:r>
    </w:p>
    <w:p>
      <w:pPr>
        <w:pStyle w:val="Normal"/>
        <w:rPr/>
      </w:pPr>
      <w:r>
        <w:rPr/>
        <w:t>Workplace safety plays a crucial role in preserving the physical and mental well-being of workers, preventing accidents, and occupational diseases. In this regard, brazilian laws and regulations are essential as they establish guidelines to be followed by companies, ensuring a safe working environment and minimizing the risks of accidents. This study presents an analysis of the main aspects of Regulatory Standard No. 18 (NR-18), which outlines guidelines for accident prevention in the workplace, specifically in the construction industry.The objective of this research is to assess the applicability of the specified items in NR-18 in five vertical construction sites in Goiânia, Brazil, all in the foundation phase. The focus areas include living quarters, electrical installations, stairs, ramps, and walkways, measures for preventing falls from heights, machinery, equipment and tools, scaffolding and work platforms, safety signage, and training. A checklist was developed to determine whether the construction sites comply with the items described in the evaluation sheet. Among the five analyzed sites, three showed compliance results exceeding 85% in the examined items, while two obtained results in the range of 70% to 80% of compliant items concerning the quantity of items assessed at each construction site. Conforming aspects primarily relate to the dimensions of living quarters, encompassing dining areas, bathrooms, and sanitation facilities. Non-compliance was identified in the presence of materials in inappropriate locations and in passageways, the absence of Personal Protective Equipment (PPE) by workers, the placement of manual tools in areas designated for pedestrian traffic, and the lack of identification of electrical circuits, as well as the exposure of live parts or the absence of signage for the risk of electrical shock. In conclusion, the application and adherence to NR-18 in construction sites positively contribute to the preservation of health and safety in the workplace.</w:t>
      </w:r>
    </w:p>
    <w:p>
      <w:pPr>
        <w:pStyle w:val="Normal"/>
        <w:rPr/>
      </w:pPr>
      <w:r>
        <w:rPr/>
      </w:r>
    </w:p>
    <w:p>
      <w:pPr>
        <w:pStyle w:val="Normal"/>
        <w:rPr/>
      </w:pPr>
      <w:r>
        <w:rPr>
          <w:b/>
          <w:bCs/>
        </w:rPr>
        <w:t>Keywords:</w:t>
      </w:r>
      <w:r>
        <w:rPr/>
        <w:t xml:space="preserve"> workplace safety; construction sites; Regulatory Norm No. 18.</w:t>
      </w:r>
    </w:p>
    <w:p>
      <w:pPr>
        <w:pStyle w:val="Normal"/>
        <w:jc w:val="center"/>
        <w:rPr>
          <w:rFonts w:cs="Arial"/>
          <w:szCs w:val="24"/>
        </w:rPr>
      </w:pPr>
      <w:r>
        <w:rPr>
          <w:rFonts w:cs="Arial"/>
          <w:szCs w:val="24"/>
        </w:rPr>
      </w:r>
    </w:p>
    <w:p>
      <w:pPr>
        <w:pStyle w:val="Normal"/>
        <w:jc w:val="center"/>
        <w:rPr>
          <w:rFonts w:cs="Arial"/>
          <w:szCs w:val="24"/>
        </w:rPr>
      </w:pPr>
      <w:r>
        <w:rPr>
          <w:rFonts w:cs="Arial"/>
          <w:szCs w:val="24"/>
        </w:rPr>
      </w:r>
    </w:p>
    <w:p>
      <w:pPr>
        <w:pStyle w:val="Normal"/>
        <w:jc w:val="center"/>
        <w:rPr>
          <w:rFonts w:cs="Arial"/>
          <w:szCs w:val="24"/>
        </w:rPr>
      </w:pPr>
      <w:r>
        <w:rPr>
          <w:rFonts w:cs="Arial"/>
          <w:szCs w:val="24"/>
        </w:rPr>
      </w:r>
    </w:p>
    <w:p>
      <w:pPr>
        <w:pStyle w:val="Normal"/>
        <w:jc w:val="center"/>
        <w:rPr>
          <w:rFonts w:cs="Arial"/>
          <w:szCs w:val="24"/>
        </w:rPr>
      </w:pPr>
      <w:r>
        <w:rPr>
          <w:rFonts w:cs="Arial"/>
          <w:szCs w:val="24"/>
        </w:rPr>
      </w:r>
    </w:p>
    <w:p>
      <w:pPr>
        <w:pStyle w:val="Normal"/>
        <w:jc w:val="center"/>
        <w:rPr>
          <w:rFonts w:cs="Arial"/>
          <w:szCs w:val="24"/>
        </w:rPr>
      </w:pPr>
      <w:r>
        <w:rPr>
          <w:rFonts w:cs="Arial"/>
          <w:szCs w:val="24"/>
        </w:rPr>
      </w:r>
    </w:p>
    <w:p>
      <w:pPr>
        <w:pStyle w:val="Normal"/>
        <w:jc w:val="center"/>
        <w:rPr>
          <w:rFonts w:cs="Arial"/>
          <w:szCs w:val="24"/>
        </w:rPr>
      </w:pPr>
      <w:r>
        <w:rPr>
          <w:rFonts w:cs="Arial"/>
          <w:szCs w:val="24"/>
        </w:rPr>
      </w:r>
    </w:p>
    <w:p>
      <w:pPr>
        <w:pStyle w:val="Normal"/>
        <w:jc w:val="center"/>
        <w:rPr>
          <w:rFonts w:cs="Arial"/>
          <w:szCs w:val="24"/>
        </w:rPr>
      </w:pPr>
      <w:r>
        <w:rPr>
          <w:rFonts w:cs="Arial"/>
          <w:szCs w:val="24"/>
        </w:rPr>
      </w:r>
    </w:p>
    <w:p>
      <w:pPr>
        <w:pStyle w:val="Normal"/>
        <w:jc w:val="center"/>
        <w:rPr>
          <w:rFonts w:cs="Arial"/>
          <w:szCs w:val="24"/>
        </w:rPr>
      </w:pPr>
      <w:r>
        <w:rPr>
          <w:rFonts w:cs="Arial"/>
          <w:szCs w:val="24"/>
        </w:rPr>
      </w:r>
    </w:p>
    <w:p>
      <w:pPr>
        <w:pStyle w:val="Normal"/>
        <w:jc w:val="center"/>
        <w:rPr>
          <w:rFonts w:cs="Arial"/>
          <w:szCs w:val="24"/>
        </w:rPr>
      </w:pPr>
      <w:r>
        <w:rPr>
          <w:rFonts w:cs="Arial"/>
          <w:szCs w:val="24"/>
        </w:rPr>
      </w:r>
    </w:p>
    <w:p>
      <w:pPr>
        <w:pStyle w:val="Normal"/>
        <w:jc w:val="center"/>
        <w:rPr>
          <w:rFonts w:cs="Arial"/>
          <w:szCs w:val="24"/>
        </w:rPr>
      </w:pPr>
      <w:r>
        <w:rPr>
          <w:rFonts w:cs="Arial"/>
          <w:szCs w:val="24"/>
        </w:rPr>
      </w:r>
    </w:p>
    <w:p>
      <w:pPr>
        <w:pStyle w:val="Normal"/>
        <w:jc w:val="center"/>
        <w:rPr>
          <w:rFonts w:cs="Arial"/>
          <w:szCs w:val="24"/>
        </w:rPr>
      </w:pPr>
      <w:r>
        <w:rPr>
          <w:rFonts w:cs="Arial"/>
          <w:szCs w:val="24"/>
        </w:rPr>
      </w:r>
    </w:p>
    <w:p>
      <w:pPr>
        <w:pStyle w:val="Normal"/>
        <w:jc w:val="center"/>
        <w:rPr>
          <w:rFonts w:cs="Arial"/>
          <w:szCs w:val="24"/>
        </w:rPr>
      </w:pPr>
      <w:r>
        <w:rPr>
          <w:rFonts w:cs="Arial"/>
          <w:szCs w:val="24"/>
        </w:rPr>
      </w:r>
    </w:p>
    <w:p>
      <w:pPr>
        <w:pStyle w:val="Normal"/>
        <w:jc w:val="center"/>
        <w:rPr>
          <w:rFonts w:cs="Arial"/>
          <w:szCs w:val="24"/>
        </w:rPr>
      </w:pPr>
      <w:r>
        <w:rPr>
          <w:rFonts w:cs="Arial"/>
          <w:szCs w:val="24"/>
        </w:rPr>
      </w:r>
    </w:p>
    <w:p>
      <w:pPr>
        <w:pStyle w:val="Normal"/>
        <w:jc w:val="center"/>
        <w:rPr>
          <w:rFonts w:cs="Arial"/>
          <w:szCs w:val="24"/>
        </w:rPr>
      </w:pPr>
      <w:r>
        <w:rPr>
          <w:rFonts w:cs="Arial"/>
          <w:szCs w:val="24"/>
        </w:rPr>
      </w:r>
    </w:p>
    <w:p>
      <w:pPr>
        <w:pStyle w:val="Normal"/>
        <w:jc w:val="center"/>
        <w:rPr>
          <w:rFonts w:cs="Arial"/>
          <w:szCs w:val="24"/>
        </w:rPr>
      </w:pPr>
      <w:r>
        <w:rPr>
          <w:rFonts w:cs="Arial"/>
          <w:szCs w:val="24"/>
        </w:rPr>
      </w:r>
    </w:p>
    <w:p>
      <w:pPr>
        <w:pStyle w:val="Normal"/>
        <w:jc w:val="center"/>
        <w:rPr>
          <w:rFonts w:cs="Arial"/>
          <w:szCs w:val="24"/>
        </w:rPr>
      </w:pPr>
      <w:r>
        <w:rPr>
          <w:rFonts w:cs="Arial"/>
          <w:szCs w:val="24"/>
        </w:rPr>
      </w:r>
    </w:p>
    <w:p>
      <w:pPr>
        <w:pStyle w:val="Normal"/>
        <w:jc w:val="center"/>
        <w:rPr>
          <w:rFonts w:cs="Arial"/>
          <w:szCs w:val="24"/>
        </w:rPr>
      </w:pPr>
      <w:r>
        <w:rPr>
          <w:rFonts w:cs="Arial"/>
          <w:szCs w:val="24"/>
        </w:rPr>
      </w:r>
    </w:p>
    <w:p>
      <w:pPr>
        <w:pStyle w:val="Normal"/>
        <w:jc w:val="center"/>
        <w:rPr>
          <w:rFonts w:cs="Arial"/>
          <w:szCs w:val="24"/>
        </w:rPr>
      </w:pPr>
      <w:r>
        <w:rPr>
          <w:rFonts w:cs="Arial"/>
          <w:szCs w:val="24"/>
        </w:rPr>
      </w:r>
    </w:p>
    <w:p>
      <w:pPr>
        <w:pStyle w:val="Normal"/>
        <w:jc w:val="center"/>
        <w:rPr>
          <w:rFonts w:cs="Arial"/>
          <w:szCs w:val="24"/>
        </w:rPr>
      </w:pPr>
      <w:r>
        <w:rPr>
          <w:rFonts w:cs="Arial"/>
          <w:szCs w:val="24"/>
        </w:rPr>
      </w:r>
    </w:p>
    <w:p>
      <w:pPr>
        <w:pStyle w:val="Normal"/>
        <w:jc w:val="center"/>
        <w:rPr>
          <w:rFonts w:cs="Arial"/>
          <w:szCs w:val="24"/>
        </w:rPr>
      </w:pPr>
      <w:r>
        <w:rPr>
          <w:rFonts w:cs="Arial"/>
          <w:szCs w:val="24"/>
        </w:rPr>
      </w:r>
    </w:p>
    <w:p>
      <w:pPr>
        <w:pStyle w:val="Normal"/>
        <w:jc w:val="center"/>
        <w:rPr>
          <w:rFonts w:cs="Arial"/>
          <w:szCs w:val="24"/>
        </w:rPr>
      </w:pPr>
      <w:r>
        <w:rPr>
          <w:rFonts w:cs="Arial"/>
          <w:szCs w:val="24"/>
        </w:rPr>
      </w:r>
    </w:p>
    <w:p>
      <w:pPr>
        <w:pStyle w:val="Normal"/>
        <w:spacing w:lineRule="auto" w:line="259" w:before="0" w:after="160"/>
        <w:jc w:val="left"/>
        <w:rPr>
          <w:rFonts w:cs="Arial"/>
          <w:b/>
          <w:b/>
          <w:bCs/>
          <w:szCs w:val="24"/>
        </w:rPr>
      </w:pPr>
      <w:r>
        <w:rPr>
          <w:rFonts w:cs="Arial"/>
          <w:b/>
          <w:bCs/>
          <w:szCs w:val="24"/>
        </w:rPr>
      </w:r>
    </w:p>
    <w:p>
      <w:pPr>
        <w:pStyle w:val="Normal"/>
        <w:jc w:val="center"/>
        <w:rPr>
          <w:rFonts w:cs="Arial"/>
          <w:b/>
          <w:b/>
          <w:bCs/>
          <w:szCs w:val="24"/>
        </w:rPr>
      </w:pPr>
      <w:r>
        <w:rPr>
          <w:rFonts w:cs="Arial"/>
          <w:b/>
          <w:bCs/>
          <w:szCs w:val="24"/>
        </w:rPr>
        <w:t>LISTA DE FIGURAS</w:t>
      </w:r>
    </w:p>
    <w:p>
      <w:pPr>
        <w:pStyle w:val="Normal"/>
        <w:jc w:val="center"/>
        <w:rPr>
          <w:rFonts w:cs="Arial"/>
          <w:b/>
          <w:b/>
          <w:bCs/>
          <w:szCs w:val="24"/>
        </w:rPr>
      </w:pPr>
      <w:r>
        <w:rPr/>
      </w:r>
    </w:p>
    <w:p>
      <w:pPr>
        <w:pStyle w:val="Tableoffigures"/>
        <w:tabs>
          <w:tab w:val="clear" w:pos="708"/>
          <w:tab w:val="right" w:pos="9061" w:leader="dot"/>
        </w:tabs>
        <w:rPr>
          <w:rFonts w:ascii="Calibri" w:hAnsi="Calibri" w:eastAsia="" w:asciiTheme="minorHAnsi" w:eastAsiaTheme="minorEastAsia" w:hAnsiTheme="minorHAnsi"/>
          <w:kern w:val="2"/>
          <w:sz w:val="22"/>
          <w:lang w:eastAsia="pt-BR"/>
          <w14:ligatures w14:val="standardContextual"/>
        </w:rPr>
      </w:pPr>
      <w:r>
        <w:fldChar w:fldCharType="begin"/>
      </w:r>
      <w:r>
        <w:rPr>
          <w:rStyle w:val="Vnculodendice"/>
        </w:rPr>
        <w:instrText> TOC \c "Figura" </w:instrText>
      </w:r>
      <w:r>
        <w:rPr>
          <w:rStyle w:val="Vnculodendice"/>
        </w:rPr>
        <w:fldChar w:fldCharType="separate"/>
      </w:r>
      <w:hyperlink w:anchor="_Toc153611284">
        <w:r>
          <w:rPr>
            <w:rStyle w:val="Vnculodendice"/>
          </w:rPr>
          <w:t>Figura 1 – Composição da cadeia produtiva da construção em 2021.</w:t>
        </w:r>
        <w:r>
          <w:rPr>
            <w:webHidden/>
          </w:rPr>
          <w:fldChar w:fldCharType="begin"/>
        </w:r>
        <w:r>
          <w:rPr>
            <w:webHidden/>
          </w:rPr>
          <w:instrText>PAGEREF _Toc153611284 \h</w:instrText>
        </w:r>
        <w:r>
          <w:rPr>
            <w:webHidden/>
          </w:rPr>
          <w:fldChar w:fldCharType="separate"/>
        </w:r>
        <w:r>
          <w:rPr>
            <w:rStyle w:val="Vnculodendice"/>
            <w:vanish w:val="false"/>
          </w:rPr>
          <w:tab/>
          <w:t>21</w:t>
        </w:r>
        <w:r>
          <w:rPr>
            <w:webHidden/>
          </w:rPr>
          <w:fldChar w:fldCharType="end"/>
        </w:r>
      </w:hyperlink>
    </w:p>
    <w:p>
      <w:pPr>
        <w:pStyle w:val="Tableoffigures"/>
        <w:tabs>
          <w:tab w:val="clear" w:pos="708"/>
          <w:tab w:val="right" w:pos="9061" w:leader="dot"/>
        </w:tabs>
        <w:rPr>
          <w:rFonts w:ascii="Calibri" w:hAnsi="Calibri" w:eastAsia="" w:asciiTheme="minorHAnsi" w:eastAsiaTheme="minorEastAsia" w:hAnsiTheme="minorHAnsi"/>
          <w:kern w:val="2"/>
          <w:sz w:val="22"/>
          <w:lang w:eastAsia="pt-BR"/>
          <w14:ligatures w14:val="standardContextual"/>
        </w:rPr>
      </w:pPr>
      <w:hyperlink w:anchor="_Toc153611285">
        <w:r>
          <w:rPr>
            <w:rStyle w:val="Vnculodendice"/>
          </w:rPr>
          <w:t>Figura 2 –</w:t>
        </w:r>
        <w:r>
          <w:rPr>
            <w:rStyle w:val="Vnculodendice"/>
            <w:b/>
            <w:bCs/>
          </w:rPr>
          <w:t xml:space="preserve"> </w:t>
        </w:r>
        <w:r>
          <w:rPr>
            <w:rStyle w:val="Vnculodendice"/>
          </w:rPr>
          <w:t>Série histórica dos acidentes de trabalho no Brasil.</w:t>
        </w:r>
        <w:r>
          <w:rPr>
            <w:webHidden/>
          </w:rPr>
          <w:fldChar w:fldCharType="begin"/>
        </w:r>
        <w:r>
          <w:rPr>
            <w:webHidden/>
          </w:rPr>
          <w:instrText>PAGEREF _Toc153611285 \h</w:instrText>
        </w:r>
        <w:r>
          <w:rPr>
            <w:webHidden/>
          </w:rPr>
          <w:fldChar w:fldCharType="separate"/>
        </w:r>
        <w:r>
          <w:rPr>
            <w:rStyle w:val="Vnculodendice"/>
            <w:vanish w:val="false"/>
          </w:rPr>
          <w:tab/>
          <w:t>22</w:t>
        </w:r>
        <w:r>
          <w:rPr>
            <w:webHidden/>
          </w:rPr>
          <w:fldChar w:fldCharType="end"/>
        </w:r>
      </w:hyperlink>
    </w:p>
    <w:p>
      <w:pPr>
        <w:pStyle w:val="Tableoffigures"/>
        <w:tabs>
          <w:tab w:val="clear" w:pos="708"/>
          <w:tab w:val="right" w:pos="9061" w:leader="dot"/>
        </w:tabs>
        <w:rPr>
          <w:rFonts w:ascii="Calibri" w:hAnsi="Calibri" w:eastAsia="" w:asciiTheme="minorHAnsi" w:eastAsiaTheme="minorEastAsia" w:hAnsiTheme="minorHAnsi"/>
          <w:kern w:val="2"/>
          <w:sz w:val="22"/>
          <w:lang w:eastAsia="pt-BR"/>
          <w14:ligatures w14:val="standardContextual"/>
        </w:rPr>
      </w:pPr>
      <w:hyperlink w:anchor="_Toc153611286">
        <w:r>
          <w:rPr>
            <w:rStyle w:val="Vnculodendice"/>
          </w:rPr>
          <w:t>Figura 3 – Quantidade de acidentes de trabalho no setor da construção entre 2016 e 2021 no Brasil.</w:t>
        </w:r>
        <w:r>
          <w:rPr>
            <w:webHidden/>
          </w:rPr>
          <w:fldChar w:fldCharType="begin"/>
        </w:r>
        <w:r>
          <w:rPr>
            <w:webHidden/>
          </w:rPr>
          <w:instrText>PAGEREF _Toc153611286 \h</w:instrText>
        </w:r>
        <w:r>
          <w:rPr>
            <w:webHidden/>
          </w:rPr>
          <w:fldChar w:fldCharType="separate"/>
        </w:r>
        <w:r>
          <w:rPr>
            <w:rStyle w:val="Vnculodendice"/>
            <w:vanish w:val="false"/>
          </w:rPr>
          <w:tab/>
          <w:t>23</w:t>
        </w:r>
        <w:r>
          <w:rPr>
            <w:webHidden/>
          </w:rPr>
          <w:fldChar w:fldCharType="end"/>
        </w:r>
      </w:hyperlink>
    </w:p>
    <w:p>
      <w:pPr>
        <w:pStyle w:val="Tableoffigures"/>
        <w:tabs>
          <w:tab w:val="clear" w:pos="708"/>
          <w:tab w:val="right" w:pos="9061" w:leader="dot"/>
        </w:tabs>
        <w:rPr>
          <w:rFonts w:ascii="Calibri" w:hAnsi="Calibri" w:eastAsia="" w:asciiTheme="minorHAnsi" w:eastAsiaTheme="minorEastAsia" w:hAnsiTheme="minorHAnsi"/>
          <w:kern w:val="2"/>
          <w:sz w:val="22"/>
          <w:lang w:eastAsia="pt-BR"/>
          <w14:ligatures w14:val="standardContextual"/>
        </w:rPr>
      </w:pPr>
      <w:hyperlink w:anchor="_Toc153611287">
        <w:r>
          <w:rPr>
            <w:rStyle w:val="Vnculodendice"/>
          </w:rPr>
          <w:t>Figura 4 – Série histórica dos acidentes de trabalho com óbitos no Brasil.</w:t>
        </w:r>
        <w:r>
          <w:rPr>
            <w:webHidden/>
          </w:rPr>
          <w:fldChar w:fldCharType="begin"/>
        </w:r>
        <w:r>
          <w:rPr>
            <w:webHidden/>
          </w:rPr>
          <w:instrText>PAGEREF _Toc153611287 \h</w:instrText>
        </w:r>
        <w:r>
          <w:rPr>
            <w:webHidden/>
          </w:rPr>
          <w:fldChar w:fldCharType="separate"/>
        </w:r>
        <w:r>
          <w:rPr>
            <w:rStyle w:val="Vnculodendice"/>
            <w:vanish w:val="false"/>
          </w:rPr>
          <w:tab/>
          <w:t>24</w:t>
        </w:r>
        <w:r>
          <w:rPr>
            <w:webHidden/>
          </w:rPr>
          <w:fldChar w:fldCharType="end"/>
        </w:r>
      </w:hyperlink>
    </w:p>
    <w:p>
      <w:pPr>
        <w:pStyle w:val="Tableoffigures"/>
        <w:tabs>
          <w:tab w:val="clear" w:pos="708"/>
          <w:tab w:val="right" w:pos="9061" w:leader="dot"/>
        </w:tabs>
        <w:rPr>
          <w:rFonts w:ascii="Calibri" w:hAnsi="Calibri" w:eastAsia="" w:asciiTheme="minorHAnsi" w:eastAsiaTheme="minorEastAsia" w:hAnsiTheme="minorHAnsi"/>
          <w:kern w:val="2"/>
          <w:sz w:val="22"/>
          <w:lang w:eastAsia="pt-BR"/>
          <w14:ligatures w14:val="standardContextual"/>
        </w:rPr>
      </w:pPr>
      <w:hyperlink w:anchor="_Toc153611288">
        <w:r>
          <w:rPr>
            <w:rStyle w:val="Vnculodendice"/>
          </w:rPr>
          <w:t>Figura 5 – Série histórica de concessão de benefícios previdenciários acidentários.</w:t>
        </w:r>
        <w:r>
          <w:rPr>
            <w:webHidden/>
          </w:rPr>
          <w:fldChar w:fldCharType="begin"/>
        </w:r>
        <w:r>
          <w:rPr>
            <w:webHidden/>
          </w:rPr>
          <w:instrText>PAGEREF _Toc153611288 \h</w:instrText>
        </w:r>
        <w:r>
          <w:rPr>
            <w:webHidden/>
          </w:rPr>
          <w:fldChar w:fldCharType="separate"/>
        </w:r>
        <w:r>
          <w:rPr>
            <w:rStyle w:val="Vnculodendice"/>
            <w:vanish w:val="false"/>
          </w:rPr>
          <w:tab/>
          <w:t>25</w:t>
        </w:r>
        <w:r>
          <w:rPr>
            <w:webHidden/>
          </w:rPr>
          <w:fldChar w:fldCharType="end"/>
        </w:r>
      </w:hyperlink>
    </w:p>
    <w:p>
      <w:pPr>
        <w:pStyle w:val="Tableoffigures"/>
        <w:tabs>
          <w:tab w:val="clear" w:pos="708"/>
          <w:tab w:val="right" w:pos="9061" w:leader="dot"/>
        </w:tabs>
        <w:rPr>
          <w:rFonts w:ascii="Calibri" w:hAnsi="Calibri" w:eastAsia="" w:asciiTheme="minorHAnsi" w:eastAsiaTheme="minorEastAsia" w:hAnsiTheme="minorHAnsi"/>
          <w:kern w:val="2"/>
          <w:sz w:val="22"/>
          <w:lang w:eastAsia="pt-BR"/>
          <w14:ligatures w14:val="standardContextual"/>
        </w:rPr>
      </w:pPr>
      <w:hyperlink w:anchor="_Toc153611289">
        <w:r>
          <w:rPr>
            <w:rStyle w:val="Vnculodendice"/>
          </w:rPr>
          <w:t>Figura 6 – Andaime simplesmente apoiado</w:t>
        </w:r>
        <w:r>
          <w:rPr>
            <w:webHidden/>
          </w:rPr>
          <w:fldChar w:fldCharType="begin"/>
        </w:r>
        <w:r>
          <w:rPr>
            <w:webHidden/>
          </w:rPr>
          <w:instrText>PAGEREF _Toc153611289 \h</w:instrText>
        </w:r>
        <w:r>
          <w:rPr>
            <w:webHidden/>
          </w:rPr>
          <w:fldChar w:fldCharType="separate"/>
        </w:r>
        <w:r>
          <w:rPr>
            <w:rStyle w:val="Vnculodendice"/>
            <w:vanish w:val="false"/>
          </w:rPr>
          <w:tab/>
          <w:t>32</w:t>
        </w:r>
        <w:r>
          <w:rPr>
            <w:webHidden/>
          </w:rPr>
          <w:fldChar w:fldCharType="end"/>
        </w:r>
      </w:hyperlink>
    </w:p>
    <w:p>
      <w:pPr>
        <w:pStyle w:val="Tableoffigures"/>
        <w:tabs>
          <w:tab w:val="clear" w:pos="708"/>
          <w:tab w:val="right" w:pos="9061" w:leader="dot"/>
        </w:tabs>
        <w:rPr>
          <w:rFonts w:ascii="Calibri" w:hAnsi="Calibri" w:eastAsia="" w:asciiTheme="minorHAnsi" w:eastAsiaTheme="minorEastAsia" w:hAnsiTheme="minorHAnsi"/>
          <w:kern w:val="2"/>
          <w:sz w:val="22"/>
          <w:lang w:eastAsia="pt-BR"/>
          <w14:ligatures w14:val="standardContextual"/>
        </w:rPr>
      </w:pPr>
      <w:hyperlink w:anchor="_Toc153611290">
        <w:r>
          <w:rPr>
            <w:rStyle w:val="Vnculodendice"/>
          </w:rPr>
          <w:t>Figura 7 – Sinalização de segurança</w:t>
        </w:r>
        <w:r>
          <w:rPr>
            <w:webHidden/>
          </w:rPr>
          <w:fldChar w:fldCharType="begin"/>
        </w:r>
        <w:r>
          <w:rPr>
            <w:webHidden/>
          </w:rPr>
          <w:instrText>PAGEREF _Toc153611290 \h</w:instrText>
        </w:r>
        <w:r>
          <w:rPr>
            <w:webHidden/>
          </w:rPr>
          <w:fldChar w:fldCharType="separate"/>
        </w:r>
        <w:r>
          <w:rPr>
            <w:rStyle w:val="Vnculodendice"/>
            <w:vanish w:val="false"/>
          </w:rPr>
          <w:tab/>
          <w:t>33</w:t>
        </w:r>
        <w:r>
          <w:rPr>
            <w:webHidden/>
          </w:rPr>
          <w:fldChar w:fldCharType="end"/>
        </w:r>
      </w:hyperlink>
    </w:p>
    <w:p>
      <w:pPr>
        <w:pStyle w:val="Tableoffigures"/>
        <w:tabs>
          <w:tab w:val="clear" w:pos="708"/>
          <w:tab w:val="right" w:pos="9061" w:leader="dot"/>
        </w:tabs>
        <w:rPr>
          <w:rFonts w:ascii="Calibri" w:hAnsi="Calibri" w:eastAsia="" w:asciiTheme="minorHAnsi" w:eastAsiaTheme="minorEastAsia" w:hAnsiTheme="minorHAnsi"/>
          <w:kern w:val="2"/>
          <w:sz w:val="22"/>
          <w:lang w:eastAsia="pt-BR"/>
          <w14:ligatures w14:val="standardContextual"/>
        </w:rPr>
      </w:pPr>
      <w:hyperlink w:anchor="_Toc153611291">
        <w:r>
          <w:rPr>
            <w:rStyle w:val="Vnculodendice"/>
          </w:rPr>
          <w:t>Figura 8 – Localização dos canteiros de obras analisados.</w:t>
        </w:r>
        <w:r>
          <w:rPr>
            <w:webHidden/>
          </w:rPr>
          <w:fldChar w:fldCharType="begin"/>
        </w:r>
        <w:r>
          <w:rPr>
            <w:webHidden/>
          </w:rPr>
          <w:instrText>PAGEREF _Toc153611291 \h</w:instrText>
        </w:r>
        <w:r>
          <w:rPr>
            <w:webHidden/>
          </w:rPr>
          <w:fldChar w:fldCharType="separate"/>
        </w:r>
        <w:r>
          <w:rPr>
            <w:rStyle w:val="Vnculodendice"/>
            <w:vanish w:val="false"/>
          </w:rPr>
          <w:tab/>
          <w:t>35</w:t>
        </w:r>
        <w:r>
          <w:rPr>
            <w:webHidden/>
          </w:rPr>
          <w:fldChar w:fldCharType="end"/>
        </w:r>
      </w:hyperlink>
    </w:p>
    <w:p>
      <w:pPr>
        <w:pStyle w:val="Tableoffigures"/>
        <w:tabs>
          <w:tab w:val="clear" w:pos="708"/>
          <w:tab w:val="right" w:pos="9061" w:leader="dot"/>
        </w:tabs>
        <w:rPr>
          <w:rFonts w:ascii="Calibri" w:hAnsi="Calibri" w:eastAsia="" w:asciiTheme="minorHAnsi" w:eastAsiaTheme="minorEastAsia" w:hAnsiTheme="minorHAnsi"/>
          <w:kern w:val="2"/>
          <w:sz w:val="22"/>
          <w:lang w:eastAsia="pt-BR"/>
          <w14:ligatures w14:val="standardContextual"/>
        </w:rPr>
      </w:pPr>
      <w:hyperlink w:anchor="_Toc153611292">
        <w:r>
          <w:rPr>
            <w:rStyle w:val="Vnculodendice"/>
          </w:rPr>
          <w:t>Figura 9 – Vista panorâmica -Obra A.</w:t>
        </w:r>
        <w:r>
          <w:rPr>
            <w:webHidden/>
          </w:rPr>
          <w:fldChar w:fldCharType="begin"/>
        </w:r>
        <w:r>
          <w:rPr>
            <w:webHidden/>
          </w:rPr>
          <w:instrText>PAGEREF _Toc153611292 \h</w:instrText>
        </w:r>
        <w:r>
          <w:rPr>
            <w:webHidden/>
          </w:rPr>
          <w:fldChar w:fldCharType="separate"/>
        </w:r>
        <w:r>
          <w:rPr>
            <w:rStyle w:val="Vnculodendice"/>
            <w:vanish w:val="false"/>
          </w:rPr>
          <w:tab/>
          <w:t>42</w:t>
        </w:r>
        <w:r>
          <w:rPr>
            <w:webHidden/>
          </w:rPr>
          <w:fldChar w:fldCharType="end"/>
        </w:r>
      </w:hyperlink>
    </w:p>
    <w:p>
      <w:pPr>
        <w:pStyle w:val="Tableoffigures"/>
        <w:tabs>
          <w:tab w:val="clear" w:pos="708"/>
          <w:tab w:val="right" w:pos="9061" w:leader="dot"/>
        </w:tabs>
        <w:rPr>
          <w:rFonts w:ascii="Calibri" w:hAnsi="Calibri" w:eastAsia="" w:asciiTheme="minorHAnsi" w:eastAsiaTheme="minorEastAsia" w:hAnsiTheme="minorHAnsi"/>
          <w:kern w:val="2"/>
          <w:sz w:val="22"/>
          <w:lang w:eastAsia="pt-BR"/>
          <w14:ligatures w14:val="standardContextual"/>
        </w:rPr>
      </w:pPr>
      <w:hyperlink w:anchor="_Toc153611293">
        <w:r>
          <w:rPr>
            <w:rStyle w:val="Vnculodendice"/>
          </w:rPr>
          <w:t>Figura 10 - Vista ampliada - Obra A.</w:t>
        </w:r>
        <w:r>
          <w:rPr>
            <w:webHidden/>
          </w:rPr>
          <w:fldChar w:fldCharType="begin"/>
        </w:r>
        <w:r>
          <w:rPr>
            <w:webHidden/>
          </w:rPr>
          <w:instrText>PAGEREF _Toc153611293 \h</w:instrText>
        </w:r>
        <w:r>
          <w:rPr>
            <w:webHidden/>
          </w:rPr>
          <w:fldChar w:fldCharType="separate"/>
        </w:r>
        <w:r>
          <w:rPr>
            <w:rStyle w:val="Vnculodendice"/>
            <w:vanish w:val="false"/>
          </w:rPr>
          <w:tab/>
          <w:t>42</w:t>
        </w:r>
        <w:r>
          <w:rPr>
            <w:webHidden/>
          </w:rPr>
          <w:fldChar w:fldCharType="end"/>
        </w:r>
      </w:hyperlink>
    </w:p>
    <w:p>
      <w:pPr>
        <w:pStyle w:val="Tableoffigures"/>
        <w:tabs>
          <w:tab w:val="clear" w:pos="708"/>
          <w:tab w:val="right" w:pos="9061" w:leader="dot"/>
        </w:tabs>
        <w:rPr>
          <w:rFonts w:ascii="Calibri" w:hAnsi="Calibri" w:eastAsia="" w:asciiTheme="minorHAnsi" w:eastAsiaTheme="minorEastAsia" w:hAnsiTheme="minorHAnsi"/>
          <w:kern w:val="2"/>
          <w:sz w:val="22"/>
          <w:lang w:eastAsia="pt-BR"/>
          <w14:ligatures w14:val="standardContextual"/>
        </w:rPr>
      </w:pPr>
      <w:hyperlink w:anchor="_Toc153611294">
        <w:r>
          <w:rPr>
            <w:rStyle w:val="Vnculodendice"/>
          </w:rPr>
          <w:t>Figura 11 - Programa de Gerenciamento de Riscos - Obra A.</w:t>
        </w:r>
        <w:r>
          <w:rPr>
            <w:webHidden/>
          </w:rPr>
          <w:fldChar w:fldCharType="begin"/>
        </w:r>
        <w:r>
          <w:rPr>
            <w:webHidden/>
          </w:rPr>
          <w:instrText>PAGEREF _Toc153611294 \h</w:instrText>
        </w:r>
        <w:r>
          <w:rPr>
            <w:webHidden/>
          </w:rPr>
          <w:fldChar w:fldCharType="separate"/>
        </w:r>
        <w:r>
          <w:rPr>
            <w:rStyle w:val="Vnculodendice"/>
            <w:vanish w:val="false"/>
          </w:rPr>
          <w:tab/>
          <w:t>43</w:t>
        </w:r>
        <w:r>
          <w:rPr>
            <w:webHidden/>
          </w:rPr>
          <w:fldChar w:fldCharType="end"/>
        </w:r>
      </w:hyperlink>
    </w:p>
    <w:p>
      <w:pPr>
        <w:pStyle w:val="Tableoffigures"/>
        <w:tabs>
          <w:tab w:val="clear" w:pos="708"/>
          <w:tab w:val="right" w:pos="9061" w:leader="dot"/>
        </w:tabs>
        <w:rPr>
          <w:rFonts w:ascii="Calibri" w:hAnsi="Calibri" w:eastAsia="" w:asciiTheme="minorHAnsi" w:eastAsiaTheme="minorEastAsia" w:hAnsiTheme="minorHAnsi"/>
          <w:kern w:val="2"/>
          <w:sz w:val="22"/>
          <w:lang w:eastAsia="pt-BR"/>
          <w14:ligatures w14:val="standardContextual"/>
        </w:rPr>
      </w:pPr>
      <w:hyperlink w:anchor="_Toc153611295">
        <w:r>
          <w:rPr>
            <w:rStyle w:val="Vnculodendice"/>
          </w:rPr>
          <w:t>Figura 12 - Refeitório da Obra A.</w:t>
        </w:r>
        <w:r>
          <w:rPr>
            <w:webHidden/>
          </w:rPr>
          <w:fldChar w:fldCharType="begin"/>
        </w:r>
        <w:r>
          <w:rPr>
            <w:webHidden/>
          </w:rPr>
          <w:instrText>PAGEREF _Toc153611295 \h</w:instrText>
        </w:r>
        <w:r>
          <w:rPr>
            <w:webHidden/>
          </w:rPr>
          <w:fldChar w:fldCharType="separate"/>
        </w:r>
        <w:r>
          <w:rPr>
            <w:rStyle w:val="Vnculodendice"/>
            <w:vanish w:val="false"/>
          </w:rPr>
          <w:tab/>
          <w:t>44</w:t>
        </w:r>
        <w:r>
          <w:rPr>
            <w:webHidden/>
          </w:rPr>
          <w:fldChar w:fldCharType="end"/>
        </w:r>
      </w:hyperlink>
    </w:p>
    <w:p>
      <w:pPr>
        <w:pStyle w:val="Tableoffigures"/>
        <w:tabs>
          <w:tab w:val="clear" w:pos="708"/>
          <w:tab w:val="right" w:pos="9061" w:leader="dot"/>
        </w:tabs>
        <w:rPr>
          <w:rFonts w:ascii="Calibri" w:hAnsi="Calibri" w:eastAsia="" w:asciiTheme="minorHAnsi" w:eastAsiaTheme="minorEastAsia" w:hAnsiTheme="minorHAnsi"/>
          <w:kern w:val="2"/>
          <w:sz w:val="22"/>
          <w:lang w:eastAsia="pt-BR"/>
          <w14:ligatures w14:val="standardContextual"/>
        </w:rPr>
      </w:pPr>
      <w:hyperlink w:anchor="_Toc153611296">
        <w:r>
          <w:rPr>
            <w:rStyle w:val="Vnculodendice"/>
          </w:rPr>
          <w:t>Figura 13 - Vista geral do local onde estão os chuveiros – Obra A</w:t>
        </w:r>
        <w:r>
          <w:rPr>
            <w:webHidden/>
          </w:rPr>
          <w:fldChar w:fldCharType="begin"/>
        </w:r>
        <w:r>
          <w:rPr>
            <w:webHidden/>
          </w:rPr>
          <w:instrText>PAGEREF _Toc153611296 \h</w:instrText>
        </w:r>
        <w:r>
          <w:rPr>
            <w:webHidden/>
          </w:rPr>
          <w:fldChar w:fldCharType="separate"/>
        </w:r>
        <w:r>
          <w:rPr>
            <w:rStyle w:val="Vnculodendice"/>
            <w:vanish w:val="false"/>
          </w:rPr>
          <w:tab/>
          <w:t>44</w:t>
        </w:r>
        <w:r>
          <w:rPr>
            <w:webHidden/>
          </w:rPr>
          <w:fldChar w:fldCharType="end"/>
        </w:r>
      </w:hyperlink>
    </w:p>
    <w:p>
      <w:pPr>
        <w:pStyle w:val="Tableoffigures"/>
        <w:tabs>
          <w:tab w:val="clear" w:pos="708"/>
          <w:tab w:val="right" w:pos="9061" w:leader="dot"/>
        </w:tabs>
        <w:rPr>
          <w:rFonts w:ascii="Calibri" w:hAnsi="Calibri" w:eastAsia="" w:asciiTheme="minorHAnsi" w:eastAsiaTheme="minorEastAsia" w:hAnsiTheme="minorHAnsi"/>
          <w:kern w:val="2"/>
          <w:sz w:val="22"/>
          <w:lang w:eastAsia="pt-BR"/>
          <w14:ligatures w14:val="standardContextual"/>
        </w:rPr>
      </w:pPr>
      <w:hyperlink w:anchor="_Toc153611297">
        <w:r>
          <w:rPr>
            <w:rStyle w:val="Vnculodendice"/>
          </w:rPr>
          <w:t>Figura 14 - Vista geral do banheiro – Obra A</w:t>
        </w:r>
        <w:r>
          <w:rPr>
            <w:webHidden/>
          </w:rPr>
          <w:fldChar w:fldCharType="begin"/>
        </w:r>
        <w:r>
          <w:rPr>
            <w:webHidden/>
          </w:rPr>
          <w:instrText>PAGEREF _Toc153611297 \h</w:instrText>
        </w:r>
        <w:r>
          <w:rPr>
            <w:webHidden/>
          </w:rPr>
          <w:fldChar w:fldCharType="separate"/>
        </w:r>
        <w:r>
          <w:rPr>
            <w:rStyle w:val="Vnculodendice"/>
            <w:vanish w:val="false"/>
          </w:rPr>
          <w:tab/>
          <w:t>45</w:t>
        </w:r>
        <w:r>
          <w:rPr>
            <w:webHidden/>
          </w:rPr>
          <w:fldChar w:fldCharType="end"/>
        </w:r>
      </w:hyperlink>
    </w:p>
    <w:p>
      <w:pPr>
        <w:pStyle w:val="Tableoffigures"/>
        <w:tabs>
          <w:tab w:val="clear" w:pos="708"/>
          <w:tab w:val="right" w:pos="9061" w:leader="dot"/>
        </w:tabs>
        <w:rPr>
          <w:rFonts w:ascii="Calibri" w:hAnsi="Calibri" w:eastAsia="" w:asciiTheme="minorHAnsi" w:eastAsiaTheme="minorEastAsia" w:hAnsiTheme="minorHAnsi"/>
          <w:kern w:val="2"/>
          <w:sz w:val="22"/>
          <w:lang w:eastAsia="pt-BR"/>
          <w14:ligatures w14:val="standardContextual"/>
        </w:rPr>
      </w:pPr>
      <w:hyperlink w:anchor="_Toc153611298">
        <w:r>
          <w:rPr>
            <w:rStyle w:val="Vnculodendice"/>
          </w:rPr>
          <w:t>Figura 15 - Bacia sanitária com assento com tampa da Obra A.</w:t>
        </w:r>
        <w:r>
          <w:rPr>
            <w:webHidden/>
          </w:rPr>
          <w:fldChar w:fldCharType="begin"/>
        </w:r>
        <w:r>
          <w:rPr>
            <w:webHidden/>
          </w:rPr>
          <w:instrText>PAGEREF _Toc153611298 \h</w:instrText>
        </w:r>
        <w:r>
          <w:rPr>
            <w:webHidden/>
          </w:rPr>
          <w:fldChar w:fldCharType="separate"/>
        </w:r>
        <w:r>
          <w:rPr>
            <w:rStyle w:val="Vnculodendice"/>
            <w:vanish w:val="false"/>
          </w:rPr>
          <w:tab/>
          <w:t>45</w:t>
        </w:r>
        <w:r>
          <w:rPr>
            <w:webHidden/>
          </w:rPr>
          <w:fldChar w:fldCharType="end"/>
        </w:r>
      </w:hyperlink>
    </w:p>
    <w:p>
      <w:pPr>
        <w:pStyle w:val="Tableoffigures"/>
        <w:tabs>
          <w:tab w:val="clear" w:pos="708"/>
          <w:tab w:val="right" w:pos="9061" w:leader="dot"/>
        </w:tabs>
        <w:rPr>
          <w:rFonts w:ascii="Calibri" w:hAnsi="Calibri" w:eastAsia="" w:asciiTheme="minorHAnsi" w:eastAsiaTheme="minorEastAsia" w:hAnsiTheme="minorHAnsi"/>
          <w:kern w:val="2"/>
          <w:sz w:val="22"/>
          <w:lang w:eastAsia="pt-BR"/>
          <w14:ligatures w14:val="standardContextual"/>
        </w:rPr>
      </w:pPr>
      <w:hyperlink w:anchor="_Toc153611299">
        <w:r>
          <w:rPr>
            <w:rStyle w:val="Vnculodendice"/>
          </w:rPr>
          <w:t>Figura 16 - Chuveiro elétrico da Obra A.</w:t>
        </w:r>
        <w:r>
          <w:rPr>
            <w:webHidden/>
          </w:rPr>
          <w:fldChar w:fldCharType="begin"/>
        </w:r>
        <w:r>
          <w:rPr>
            <w:webHidden/>
          </w:rPr>
          <w:instrText>PAGEREF _Toc153611299 \h</w:instrText>
        </w:r>
        <w:r>
          <w:rPr>
            <w:webHidden/>
          </w:rPr>
          <w:fldChar w:fldCharType="separate"/>
        </w:r>
        <w:r>
          <w:rPr>
            <w:rStyle w:val="Vnculodendice"/>
            <w:vanish w:val="false"/>
          </w:rPr>
          <w:tab/>
          <w:t>46</w:t>
        </w:r>
        <w:r>
          <w:rPr>
            <w:webHidden/>
          </w:rPr>
          <w:fldChar w:fldCharType="end"/>
        </w:r>
      </w:hyperlink>
    </w:p>
    <w:p>
      <w:pPr>
        <w:pStyle w:val="Tableoffigures"/>
        <w:tabs>
          <w:tab w:val="clear" w:pos="708"/>
          <w:tab w:val="right" w:pos="9061" w:leader="dot"/>
        </w:tabs>
        <w:rPr>
          <w:rFonts w:ascii="Calibri" w:hAnsi="Calibri" w:eastAsia="" w:asciiTheme="minorHAnsi" w:eastAsiaTheme="minorEastAsia" w:hAnsiTheme="minorHAnsi"/>
          <w:kern w:val="2"/>
          <w:sz w:val="22"/>
          <w:lang w:eastAsia="pt-BR"/>
          <w14:ligatures w14:val="standardContextual"/>
        </w:rPr>
      </w:pPr>
      <w:hyperlink w:anchor="_Toc153611300">
        <w:r>
          <w:rPr>
            <w:rStyle w:val="Vnculodendice"/>
          </w:rPr>
          <w:t>Figura 17 - Vestiário da Obra A.</w:t>
        </w:r>
        <w:r>
          <w:rPr>
            <w:webHidden/>
          </w:rPr>
          <w:fldChar w:fldCharType="begin"/>
        </w:r>
        <w:r>
          <w:rPr>
            <w:webHidden/>
          </w:rPr>
          <w:instrText>PAGEREF _Toc153611300 \h</w:instrText>
        </w:r>
        <w:r>
          <w:rPr>
            <w:webHidden/>
          </w:rPr>
          <w:fldChar w:fldCharType="separate"/>
        </w:r>
        <w:r>
          <w:rPr>
            <w:rStyle w:val="Vnculodendice"/>
            <w:vanish w:val="false"/>
          </w:rPr>
          <w:tab/>
          <w:t>46</w:t>
        </w:r>
        <w:r>
          <w:rPr>
            <w:webHidden/>
          </w:rPr>
          <w:fldChar w:fldCharType="end"/>
        </w:r>
      </w:hyperlink>
    </w:p>
    <w:p>
      <w:pPr>
        <w:pStyle w:val="Tableoffigures"/>
        <w:tabs>
          <w:tab w:val="clear" w:pos="708"/>
          <w:tab w:val="right" w:pos="9061" w:leader="dot"/>
        </w:tabs>
        <w:rPr>
          <w:rFonts w:ascii="Calibri" w:hAnsi="Calibri" w:eastAsia="" w:asciiTheme="minorHAnsi" w:eastAsiaTheme="minorEastAsia" w:hAnsiTheme="minorHAnsi"/>
          <w:kern w:val="2"/>
          <w:sz w:val="22"/>
          <w:lang w:eastAsia="pt-BR"/>
          <w14:ligatures w14:val="standardContextual"/>
        </w:rPr>
      </w:pPr>
      <w:hyperlink w:anchor="_Toc153611301">
        <w:r>
          <w:rPr>
            <w:rStyle w:val="Vnculodendice"/>
          </w:rPr>
          <w:t>Figura 18 - Quadro de distribuição das instalações elétricas - Obra A.</w:t>
        </w:r>
        <w:r>
          <w:rPr>
            <w:webHidden/>
          </w:rPr>
          <w:fldChar w:fldCharType="begin"/>
        </w:r>
        <w:r>
          <w:rPr>
            <w:webHidden/>
          </w:rPr>
          <w:instrText>PAGEREF _Toc153611301 \h</w:instrText>
        </w:r>
        <w:r>
          <w:rPr>
            <w:webHidden/>
          </w:rPr>
          <w:fldChar w:fldCharType="separate"/>
        </w:r>
        <w:r>
          <w:rPr>
            <w:rStyle w:val="Vnculodendice"/>
            <w:vanish w:val="false"/>
          </w:rPr>
          <w:tab/>
          <w:t>47</w:t>
        </w:r>
        <w:r>
          <w:rPr>
            <w:webHidden/>
          </w:rPr>
          <w:fldChar w:fldCharType="end"/>
        </w:r>
      </w:hyperlink>
    </w:p>
    <w:p>
      <w:pPr>
        <w:pStyle w:val="Tableoffigures"/>
        <w:tabs>
          <w:tab w:val="clear" w:pos="708"/>
          <w:tab w:val="right" w:pos="9061" w:leader="dot"/>
        </w:tabs>
        <w:rPr>
          <w:rFonts w:ascii="Calibri" w:hAnsi="Calibri" w:eastAsia="" w:asciiTheme="minorHAnsi" w:eastAsiaTheme="minorEastAsia" w:hAnsiTheme="minorHAnsi"/>
          <w:kern w:val="2"/>
          <w:sz w:val="22"/>
          <w:lang w:eastAsia="pt-BR"/>
          <w14:ligatures w14:val="standardContextual"/>
        </w:rPr>
      </w:pPr>
      <w:hyperlink w:anchor="_Toc153611302">
        <w:r>
          <w:rPr>
            <w:rStyle w:val="Vnculodendice"/>
          </w:rPr>
          <w:t>Figura 19 - Identificação interna do quadro elétrico - Obra A.</w:t>
        </w:r>
        <w:r>
          <w:rPr>
            <w:webHidden/>
          </w:rPr>
          <w:fldChar w:fldCharType="begin"/>
        </w:r>
        <w:r>
          <w:rPr>
            <w:webHidden/>
          </w:rPr>
          <w:instrText>PAGEREF _Toc153611302 \h</w:instrText>
        </w:r>
        <w:r>
          <w:rPr>
            <w:webHidden/>
          </w:rPr>
          <w:fldChar w:fldCharType="separate"/>
        </w:r>
        <w:r>
          <w:rPr>
            <w:rStyle w:val="Vnculodendice"/>
            <w:vanish w:val="false"/>
          </w:rPr>
          <w:tab/>
          <w:t>47</w:t>
        </w:r>
        <w:r>
          <w:rPr>
            <w:webHidden/>
          </w:rPr>
          <w:fldChar w:fldCharType="end"/>
        </w:r>
      </w:hyperlink>
    </w:p>
    <w:p>
      <w:pPr>
        <w:pStyle w:val="Tableoffigures"/>
        <w:tabs>
          <w:tab w:val="clear" w:pos="708"/>
          <w:tab w:val="right" w:pos="9061" w:leader="dot"/>
        </w:tabs>
        <w:rPr>
          <w:rFonts w:ascii="Calibri" w:hAnsi="Calibri" w:eastAsia="" w:asciiTheme="minorHAnsi" w:eastAsiaTheme="minorEastAsia" w:hAnsiTheme="minorHAnsi"/>
          <w:kern w:val="2"/>
          <w:sz w:val="22"/>
          <w:lang w:eastAsia="pt-BR"/>
          <w14:ligatures w14:val="standardContextual"/>
        </w:rPr>
      </w:pPr>
      <w:hyperlink w:anchor="_Toc153611303">
        <w:r>
          <w:rPr>
            <w:rStyle w:val="Vnculodendice"/>
          </w:rPr>
          <w:t>Figura 20 - Instalação de guarda-corpo – Obra A.</w:t>
        </w:r>
        <w:r>
          <w:rPr>
            <w:webHidden/>
          </w:rPr>
          <w:fldChar w:fldCharType="begin"/>
        </w:r>
        <w:r>
          <w:rPr>
            <w:webHidden/>
          </w:rPr>
          <w:instrText>PAGEREF _Toc153611303 \h</w:instrText>
        </w:r>
        <w:r>
          <w:rPr>
            <w:webHidden/>
          </w:rPr>
          <w:fldChar w:fldCharType="separate"/>
        </w:r>
        <w:r>
          <w:rPr>
            <w:rStyle w:val="Vnculodendice"/>
            <w:vanish w:val="false"/>
          </w:rPr>
          <w:tab/>
          <w:t>48</w:t>
        </w:r>
        <w:r>
          <w:rPr>
            <w:webHidden/>
          </w:rPr>
          <w:fldChar w:fldCharType="end"/>
        </w:r>
      </w:hyperlink>
    </w:p>
    <w:p>
      <w:pPr>
        <w:pStyle w:val="Tableoffigures"/>
        <w:tabs>
          <w:tab w:val="clear" w:pos="708"/>
          <w:tab w:val="right" w:pos="9061" w:leader="dot"/>
        </w:tabs>
        <w:rPr>
          <w:rFonts w:ascii="Calibri" w:hAnsi="Calibri" w:eastAsia="" w:asciiTheme="minorHAnsi" w:eastAsiaTheme="minorEastAsia" w:hAnsiTheme="minorHAnsi"/>
          <w:kern w:val="2"/>
          <w:sz w:val="22"/>
          <w:lang w:eastAsia="pt-BR"/>
          <w14:ligatures w14:val="standardContextual"/>
        </w:rPr>
      </w:pPr>
      <w:hyperlink w:anchor="_Toc153611304">
        <w:r>
          <w:rPr>
            <w:rStyle w:val="Vnculodendice"/>
          </w:rPr>
          <w:t>Figura 21- Guarda-corpo sinalizado - Obra A.</w:t>
        </w:r>
        <w:r>
          <w:rPr>
            <w:webHidden/>
          </w:rPr>
          <w:fldChar w:fldCharType="begin"/>
        </w:r>
        <w:r>
          <w:rPr>
            <w:webHidden/>
          </w:rPr>
          <w:instrText>PAGEREF _Toc153611304 \h</w:instrText>
        </w:r>
        <w:r>
          <w:rPr>
            <w:webHidden/>
          </w:rPr>
          <w:fldChar w:fldCharType="separate"/>
        </w:r>
        <w:r>
          <w:rPr>
            <w:rStyle w:val="Vnculodendice"/>
            <w:vanish w:val="false"/>
          </w:rPr>
          <w:tab/>
          <w:t>48</w:t>
        </w:r>
        <w:r>
          <w:rPr>
            <w:webHidden/>
          </w:rPr>
          <w:fldChar w:fldCharType="end"/>
        </w:r>
      </w:hyperlink>
    </w:p>
    <w:p>
      <w:pPr>
        <w:pStyle w:val="Tableoffigures"/>
        <w:tabs>
          <w:tab w:val="clear" w:pos="708"/>
          <w:tab w:val="right" w:pos="9061" w:leader="dot"/>
        </w:tabs>
        <w:rPr>
          <w:rFonts w:ascii="Calibri" w:hAnsi="Calibri" w:eastAsia="" w:asciiTheme="minorHAnsi" w:eastAsiaTheme="minorEastAsia" w:hAnsiTheme="minorHAnsi"/>
          <w:kern w:val="2"/>
          <w:sz w:val="22"/>
          <w:lang w:eastAsia="pt-BR"/>
          <w14:ligatures w14:val="standardContextual"/>
        </w:rPr>
      </w:pPr>
      <w:hyperlink w:anchor="_Toc153611305">
        <w:r>
          <w:rPr>
            <w:rStyle w:val="Vnculodendice"/>
          </w:rPr>
          <w:t>Figura 22 - Instalação de Betoneira - Obra A.</w:t>
        </w:r>
        <w:r>
          <w:rPr>
            <w:webHidden/>
          </w:rPr>
          <w:fldChar w:fldCharType="begin"/>
        </w:r>
        <w:r>
          <w:rPr>
            <w:webHidden/>
          </w:rPr>
          <w:instrText>PAGEREF _Toc153611305 \h</w:instrText>
        </w:r>
        <w:r>
          <w:rPr>
            <w:webHidden/>
          </w:rPr>
          <w:fldChar w:fldCharType="separate"/>
        </w:r>
        <w:r>
          <w:rPr>
            <w:rStyle w:val="Vnculodendice"/>
            <w:vanish w:val="false"/>
          </w:rPr>
          <w:tab/>
          <w:t>49</w:t>
        </w:r>
        <w:r>
          <w:rPr>
            <w:webHidden/>
          </w:rPr>
          <w:fldChar w:fldCharType="end"/>
        </w:r>
      </w:hyperlink>
    </w:p>
    <w:p>
      <w:pPr>
        <w:pStyle w:val="Tableoffigures"/>
        <w:tabs>
          <w:tab w:val="clear" w:pos="708"/>
          <w:tab w:val="right" w:pos="9061" w:leader="dot"/>
        </w:tabs>
        <w:rPr>
          <w:rFonts w:ascii="Calibri" w:hAnsi="Calibri" w:eastAsia="" w:asciiTheme="minorHAnsi" w:eastAsiaTheme="minorEastAsia" w:hAnsiTheme="minorHAnsi"/>
          <w:kern w:val="2"/>
          <w:sz w:val="22"/>
          <w:lang w:eastAsia="pt-BR"/>
          <w14:ligatures w14:val="standardContextual"/>
        </w:rPr>
      </w:pPr>
      <w:hyperlink w:anchor="_Toc153611306">
        <w:r>
          <w:rPr>
            <w:rStyle w:val="Vnculodendice"/>
          </w:rPr>
          <w:t>Figura 23 - Sinalização – Acesso restrito e uso de EPI.</w:t>
        </w:r>
        <w:r>
          <w:rPr>
            <w:webHidden/>
          </w:rPr>
          <w:fldChar w:fldCharType="begin"/>
        </w:r>
        <w:r>
          <w:rPr>
            <w:webHidden/>
          </w:rPr>
          <w:instrText>PAGEREF _Toc153611306 \h</w:instrText>
        </w:r>
        <w:r>
          <w:rPr>
            <w:webHidden/>
          </w:rPr>
          <w:fldChar w:fldCharType="separate"/>
        </w:r>
        <w:r>
          <w:rPr>
            <w:rStyle w:val="Vnculodendice"/>
            <w:vanish w:val="false"/>
          </w:rPr>
          <w:tab/>
          <w:t>50</w:t>
        </w:r>
        <w:r>
          <w:rPr>
            <w:webHidden/>
          </w:rPr>
          <w:fldChar w:fldCharType="end"/>
        </w:r>
      </w:hyperlink>
    </w:p>
    <w:p>
      <w:pPr>
        <w:pStyle w:val="Tableoffigures"/>
        <w:tabs>
          <w:tab w:val="clear" w:pos="708"/>
          <w:tab w:val="right" w:pos="9061" w:leader="dot"/>
        </w:tabs>
        <w:rPr>
          <w:rFonts w:ascii="Calibri" w:hAnsi="Calibri" w:eastAsia="" w:asciiTheme="minorHAnsi" w:eastAsiaTheme="minorEastAsia" w:hAnsiTheme="minorHAnsi"/>
          <w:kern w:val="2"/>
          <w:sz w:val="22"/>
          <w:lang w:eastAsia="pt-BR"/>
          <w14:ligatures w14:val="standardContextual"/>
        </w:rPr>
      </w:pPr>
      <w:hyperlink w:anchor="_Toc153611307">
        <w:r>
          <w:rPr>
            <w:rStyle w:val="Vnculodendice"/>
          </w:rPr>
          <w:t>Figura 24 - Sinalização - obrigatoriedade do uso de EPI.</w:t>
        </w:r>
        <w:r>
          <w:rPr>
            <w:webHidden/>
          </w:rPr>
          <w:fldChar w:fldCharType="begin"/>
        </w:r>
        <w:r>
          <w:rPr>
            <w:webHidden/>
          </w:rPr>
          <w:instrText>PAGEREF _Toc153611307 \h</w:instrText>
        </w:r>
        <w:r>
          <w:rPr>
            <w:webHidden/>
          </w:rPr>
          <w:fldChar w:fldCharType="separate"/>
        </w:r>
        <w:r>
          <w:rPr>
            <w:rStyle w:val="Vnculodendice"/>
            <w:vanish w:val="false"/>
          </w:rPr>
          <w:tab/>
          <w:t>50</w:t>
        </w:r>
        <w:r>
          <w:rPr>
            <w:webHidden/>
          </w:rPr>
          <w:fldChar w:fldCharType="end"/>
        </w:r>
      </w:hyperlink>
    </w:p>
    <w:p>
      <w:pPr>
        <w:pStyle w:val="Tableoffigures"/>
        <w:tabs>
          <w:tab w:val="clear" w:pos="708"/>
          <w:tab w:val="right" w:pos="9061" w:leader="dot"/>
        </w:tabs>
        <w:rPr>
          <w:rFonts w:ascii="Calibri" w:hAnsi="Calibri" w:eastAsia="" w:asciiTheme="minorHAnsi" w:eastAsiaTheme="minorEastAsia" w:hAnsiTheme="minorHAnsi"/>
          <w:kern w:val="2"/>
          <w:sz w:val="22"/>
          <w:lang w:eastAsia="pt-BR"/>
          <w14:ligatures w14:val="standardContextual"/>
        </w:rPr>
      </w:pPr>
      <w:hyperlink w:anchor="_Toc153611308">
        <w:r>
          <w:rPr>
            <w:rStyle w:val="Vnculodendice"/>
          </w:rPr>
          <w:t>Figura 25 - Instalação da escada de acesso ao canteiro.</w:t>
        </w:r>
        <w:r>
          <w:rPr>
            <w:webHidden/>
          </w:rPr>
          <w:fldChar w:fldCharType="begin"/>
        </w:r>
        <w:r>
          <w:rPr>
            <w:webHidden/>
          </w:rPr>
          <w:instrText>PAGEREF _Toc153611308 \h</w:instrText>
        </w:r>
        <w:r>
          <w:rPr>
            <w:webHidden/>
          </w:rPr>
          <w:fldChar w:fldCharType="separate"/>
        </w:r>
        <w:r>
          <w:rPr>
            <w:rStyle w:val="Vnculodendice"/>
            <w:vanish w:val="false"/>
          </w:rPr>
          <w:tab/>
          <w:t>51</w:t>
        </w:r>
        <w:r>
          <w:rPr>
            <w:webHidden/>
          </w:rPr>
          <w:fldChar w:fldCharType="end"/>
        </w:r>
      </w:hyperlink>
    </w:p>
    <w:p>
      <w:pPr>
        <w:pStyle w:val="Tableoffigures"/>
        <w:tabs>
          <w:tab w:val="clear" w:pos="708"/>
          <w:tab w:val="right" w:pos="9061" w:leader="dot"/>
        </w:tabs>
        <w:rPr>
          <w:rFonts w:ascii="Calibri" w:hAnsi="Calibri" w:eastAsia="" w:asciiTheme="minorHAnsi" w:eastAsiaTheme="minorEastAsia" w:hAnsiTheme="minorHAnsi"/>
          <w:kern w:val="2"/>
          <w:sz w:val="22"/>
          <w:lang w:eastAsia="pt-BR"/>
          <w14:ligatures w14:val="standardContextual"/>
        </w:rPr>
      </w:pPr>
      <w:hyperlink w:anchor="_Toc153611309">
        <w:r>
          <w:rPr>
            <w:rStyle w:val="Vnculodendice"/>
          </w:rPr>
          <w:t>Figura 26 - Acesso improvisado.</w:t>
        </w:r>
        <w:r>
          <w:rPr>
            <w:webHidden/>
          </w:rPr>
          <w:fldChar w:fldCharType="begin"/>
        </w:r>
        <w:r>
          <w:rPr>
            <w:webHidden/>
          </w:rPr>
          <w:instrText>PAGEREF _Toc153611309 \h</w:instrText>
        </w:r>
        <w:r>
          <w:rPr>
            <w:webHidden/>
          </w:rPr>
          <w:fldChar w:fldCharType="separate"/>
        </w:r>
        <w:r>
          <w:rPr>
            <w:rStyle w:val="Vnculodendice"/>
            <w:vanish w:val="false"/>
          </w:rPr>
          <w:tab/>
          <w:t>52</w:t>
        </w:r>
        <w:r>
          <w:rPr>
            <w:webHidden/>
          </w:rPr>
          <w:fldChar w:fldCharType="end"/>
        </w:r>
      </w:hyperlink>
    </w:p>
    <w:p>
      <w:pPr>
        <w:pStyle w:val="Tableoffigures"/>
        <w:tabs>
          <w:tab w:val="clear" w:pos="708"/>
          <w:tab w:val="right" w:pos="9061" w:leader="dot"/>
        </w:tabs>
        <w:rPr>
          <w:rFonts w:ascii="Calibri" w:hAnsi="Calibri" w:eastAsia="" w:asciiTheme="minorHAnsi" w:eastAsiaTheme="minorEastAsia" w:hAnsiTheme="minorHAnsi"/>
          <w:kern w:val="2"/>
          <w:sz w:val="22"/>
          <w:lang w:eastAsia="pt-BR"/>
          <w14:ligatures w14:val="standardContextual"/>
        </w:rPr>
      </w:pPr>
      <w:hyperlink w:anchor="_Toc153611310">
        <w:r>
          <w:rPr>
            <w:rStyle w:val="Vnculodendice"/>
          </w:rPr>
          <w:t>Figura 27 - Extensão conectada à rede elétrica no chão.</w:t>
        </w:r>
        <w:r>
          <w:rPr>
            <w:webHidden/>
          </w:rPr>
          <w:fldChar w:fldCharType="begin"/>
        </w:r>
        <w:r>
          <w:rPr>
            <w:webHidden/>
          </w:rPr>
          <w:instrText>PAGEREF _Toc153611310 \h</w:instrText>
        </w:r>
        <w:r>
          <w:rPr>
            <w:webHidden/>
          </w:rPr>
          <w:fldChar w:fldCharType="separate"/>
        </w:r>
        <w:r>
          <w:rPr>
            <w:rStyle w:val="Vnculodendice"/>
            <w:vanish w:val="false"/>
          </w:rPr>
          <w:tab/>
          <w:t>52</w:t>
        </w:r>
        <w:r>
          <w:rPr>
            <w:webHidden/>
          </w:rPr>
          <w:fldChar w:fldCharType="end"/>
        </w:r>
      </w:hyperlink>
    </w:p>
    <w:p>
      <w:pPr>
        <w:pStyle w:val="Tableoffigures"/>
        <w:tabs>
          <w:tab w:val="clear" w:pos="708"/>
          <w:tab w:val="right" w:pos="9061" w:leader="dot"/>
        </w:tabs>
        <w:rPr>
          <w:rFonts w:ascii="Calibri" w:hAnsi="Calibri" w:eastAsia="" w:asciiTheme="minorHAnsi" w:eastAsiaTheme="minorEastAsia" w:hAnsiTheme="minorHAnsi"/>
          <w:kern w:val="2"/>
          <w:sz w:val="22"/>
          <w:lang w:eastAsia="pt-BR"/>
          <w14:ligatures w14:val="standardContextual"/>
        </w:rPr>
      </w:pPr>
      <w:hyperlink w:anchor="_Toc153611311">
        <w:r>
          <w:rPr>
            <w:rStyle w:val="Vnculodendice"/>
          </w:rPr>
          <w:t>Figura 28 - Materiais fora de lugar e em local de passagem.</w:t>
        </w:r>
        <w:r>
          <w:rPr>
            <w:webHidden/>
          </w:rPr>
          <w:fldChar w:fldCharType="begin"/>
        </w:r>
        <w:r>
          <w:rPr>
            <w:webHidden/>
          </w:rPr>
          <w:instrText>PAGEREF _Toc153611311 \h</w:instrText>
        </w:r>
        <w:r>
          <w:rPr>
            <w:webHidden/>
          </w:rPr>
          <w:fldChar w:fldCharType="separate"/>
        </w:r>
        <w:r>
          <w:rPr>
            <w:rStyle w:val="Vnculodendice"/>
            <w:vanish w:val="false"/>
          </w:rPr>
          <w:tab/>
          <w:t>53</w:t>
        </w:r>
        <w:r>
          <w:rPr>
            <w:webHidden/>
          </w:rPr>
          <w:fldChar w:fldCharType="end"/>
        </w:r>
      </w:hyperlink>
    </w:p>
    <w:p>
      <w:pPr>
        <w:pStyle w:val="Tableoffigures"/>
        <w:tabs>
          <w:tab w:val="clear" w:pos="708"/>
          <w:tab w:val="right" w:pos="9061" w:leader="dot"/>
        </w:tabs>
        <w:rPr>
          <w:rFonts w:ascii="Calibri" w:hAnsi="Calibri" w:eastAsia="" w:asciiTheme="minorHAnsi" w:eastAsiaTheme="minorEastAsia" w:hAnsiTheme="minorHAnsi"/>
          <w:kern w:val="2"/>
          <w:sz w:val="22"/>
          <w:lang w:eastAsia="pt-BR"/>
          <w14:ligatures w14:val="standardContextual"/>
        </w:rPr>
      </w:pPr>
      <w:hyperlink w:anchor="_Toc153611312">
        <w:r>
          <w:rPr>
            <w:rStyle w:val="Vnculodendice"/>
          </w:rPr>
          <w:t>Figura 29 - Colaborador sem EPI.</w:t>
        </w:r>
        <w:r>
          <w:rPr>
            <w:webHidden/>
          </w:rPr>
          <w:fldChar w:fldCharType="begin"/>
        </w:r>
        <w:r>
          <w:rPr>
            <w:webHidden/>
          </w:rPr>
          <w:instrText>PAGEREF _Toc153611312 \h</w:instrText>
        </w:r>
        <w:r>
          <w:rPr>
            <w:webHidden/>
          </w:rPr>
          <w:fldChar w:fldCharType="separate"/>
        </w:r>
        <w:r>
          <w:rPr>
            <w:rStyle w:val="Vnculodendice"/>
            <w:vanish w:val="false"/>
          </w:rPr>
          <w:tab/>
          <w:t>53</w:t>
        </w:r>
        <w:r>
          <w:rPr>
            <w:webHidden/>
          </w:rPr>
          <w:fldChar w:fldCharType="end"/>
        </w:r>
      </w:hyperlink>
    </w:p>
    <w:p>
      <w:pPr>
        <w:pStyle w:val="Tableoffigures"/>
        <w:tabs>
          <w:tab w:val="clear" w:pos="708"/>
          <w:tab w:val="right" w:pos="9061" w:leader="dot"/>
        </w:tabs>
        <w:rPr>
          <w:rFonts w:ascii="Calibri" w:hAnsi="Calibri" w:eastAsia="" w:asciiTheme="minorHAnsi" w:eastAsiaTheme="minorEastAsia" w:hAnsiTheme="minorHAnsi"/>
          <w:kern w:val="2"/>
          <w:sz w:val="22"/>
          <w:lang w:eastAsia="pt-BR"/>
          <w14:ligatures w14:val="standardContextual"/>
        </w:rPr>
      </w:pPr>
      <w:hyperlink w:anchor="_Toc153611313">
        <w:r>
          <w:rPr>
            <w:rStyle w:val="Vnculodendice"/>
          </w:rPr>
          <w:t>Figura 30 - Relação dos itens avaliados - Obra A.</w:t>
        </w:r>
        <w:r>
          <w:rPr>
            <w:webHidden/>
          </w:rPr>
          <w:fldChar w:fldCharType="begin"/>
        </w:r>
        <w:r>
          <w:rPr>
            <w:webHidden/>
          </w:rPr>
          <w:instrText>PAGEREF _Toc153611313 \h</w:instrText>
        </w:r>
        <w:r>
          <w:rPr>
            <w:webHidden/>
          </w:rPr>
          <w:fldChar w:fldCharType="separate"/>
        </w:r>
        <w:r>
          <w:rPr>
            <w:rStyle w:val="Vnculodendice"/>
            <w:vanish w:val="false"/>
          </w:rPr>
          <w:tab/>
          <w:t>55</w:t>
        </w:r>
        <w:r>
          <w:rPr>
            <w:webHidden/>
          </w:rPr>
          <w:fldChar w:fldCharType="end"/>
        </w:r>
      </w:hyperlink>
    </w:p>
    <w:p>
      <w:pPr>
        <w:pStyle w:val="Tableoffigures"/>
        <w:tabs>
          <w:tab w:val="clear" w:pos="708"/>
          <w:tab w:val="right" w:pos="9061" w:leader="dot"/>
        </w:tabs>
        <w:rPr>
          <w:rFonts w:ascii="Calibri" w:hAnsi="Calibri" w:eastAsia="" w:asciiTheme="minorHAnsi" w:eastAsiaTheme="minorEastAsia" w:hAnsiTheme="minorHAnsi"/>
          <w:kern w:val="2"/>
          <w:sz w:val="22"/>
          <w:lang w:eastAsia="pt-BR"/>
          <w14:ligatures w14:val="standardContextual"/>
        </w:rPr>
      </w:pPr>
      <w:hyperlink w:anchor="_Toc153611314">
        <w:r>
          <w:rPr>
            <w:rStyle w:val="Vnculodendice"/>
          </w:rPr>
          <w:t>Figura 31 - Vista panorâmica pela entrada do canteiro - Obra B.</w:t>
        </w:r>
        <w:r>
          <w:rPr>
            <w:webHidden/>
          </w:rPr>
          <w:fldChar w:fldCharType="begin"/>
        </w:r>
        <w:r>
          <w:rPr>
            <w:webHidden/>
          </w:rPr>
          <w:instrText>PAGEREF _Toc153611314 \h</w:instrText>
        </w:r>
        <w:r>
          <w:rPr>
            <w:webHidden/>
          </w:rPr>
          <w:fldChar w:fldCharType="separate"/>
        </w:r>
        <w:r>
          <w:rPr>
            <w:rStyle w:val="Vnculodendice"/>
            <w:vanish w:val="false"/>
          </w:rPr>
          <w:tab/>
          <w:t>56</w:t>
        </w:r>
        <w:r>
          <w:rPr>
            <w:webHidden/>
          </w:rPr>
          <w:fldChar w:fldCharType="end"/>
        </w:r>
      </w:hyperlink>
    </w:p>
    <w:p>
      <w:pPr>
        <w:pStyle w:val="Tableoffigures"/>
        <w:tabs>
          <w:tab w:val="clear" w:pos="708"/>
          <w:tab w:val="right" w:pos="9061" w:leader="dot"/>
        </w:tabs>
        <w:rPr>
          <w:rFonts w:ascii="Calibri" w:hAnsi="Calibri" w:eastAsia="" w:asciiTheme="minorHAnsi" w:eastAsiaTheme="minorEastAsia" w:hAnsiTheme="minorHAnsi"/>
          <w:kern w:val="2"/>
          <w:sz w:val="22"/>
          <w:lang w:eastAsia="pt-BR"/>
          <w14:ligatures w14:val="standardContextual"/>
        </w:rPr>
      </w:pPr>
      <w:hyperlink w:anchor="_Toc153611315">
        <w:r>
          <w:rPr>
            <w:rStyle w:val="Vnculodendice"/>
          </w:rPr>
          <w:t>Figura 32 - Vista panorâmica pelo fundo do canteiro - Obra B.</w:t>
        </w:r>
        <w:r>
          <w:rPr>
            <w:webHidden/>
          </w:rPr>
          <w:fldChar w:fldCharType="begin"/>
        </w:r>
        <w:r>
          <w:rPr>
            <w:webHidden/>
          </w:rPr>
          <w:instrText>PAGEREF _Toc153611315 \h</w:instrText>
        </w:r>
        <w:r>
          <w:rPr>
            <w:webHidden/>
          </w:rPr>
          <w:fldChar w:fldCharType="separate"/>
        </w:r>
        <w:r>
          <w:rPr>
            <w:rStyle w:val="Vnculodendice"/>
            <w:vanish w:val="false"/>
          </w:rPr>
          <w:tab/>
          <w:t>56</w:t>
        </w:r>
        <w:r>
          <w:rPr>
            <w:webHidden/>
          </w:rPr>
          <w:fldChar w:fldCharType="end"/>
        </w:r>
      </w:hyperlink>
    </w:p>
    <w:p>
      <w:pPr>
        <w:pStyle w:val="Tableoffigures"/>
        <w:tabs>
          <w:tab w:val="clear" w:pos="708"/>
          <w:tab w:val="right" w:pos="9061" w:leader="dot"/>
        </w:tabs>
        <w:rPr>
          <w:rFonts w:ascii="Calibri" w:hAnsi="Calibri" w:eastAsia="" w:asciiTheme="minorHAnsi" w:eastAsiaTheme="minorEastAsia" w:hAnsiTheme="minorHAnsi"/>
          <w:kern w:val="2"/>
          <w:sz w:val="22"/>
          <w:lang w:eastAsia="pt-BR"/>
          <w14:ligatures w14:val="standardContextual"/>
        </w:rPr>
      </w:pPr>
      <w:hyperlink w:anchor="_Toc153611316">
        <w:r>
          <w:rPr>
            <w:rStyle w:val="Vnculodendice"/>
          </w:rPr>
          <w:t>Figura 33 - Catraca de acesso para entrar na Obra B.</w:t>
        </w:r>
        <w:r>
          <w:rPr>
            <w:webHidden/>
          </w:rPr>
          <w:fldChar w:fldCharType="begin"/>
        </w:r>
        <w:r>
          <w:rPr>
            <w:webHidden/>
          </w:rPr>
          <w:instrText>PAGEREF _Toc153611316 \h</w:instrText>
        </w:r>
        <w:r>
          <w:rPr>
            <w:webHidden/>
          </w:rPr>
          <w:fldChar w:fldCharType="separate"/>
        </w:r>
        <w:r>
          <w:rPr>
            <w:rStyle w:val="Vnculodendice"/>
            <w:vanish w:val="false"/>
          </w:rPr>
          <w:tab/>
          <w:t>57</w:t>
        </w:r>
        <w:r>
          <w:rPr>
            <w:webHidden/>
          </w:rPr>
          <w:fldChar w:fldCharType="end"/>
        </w:r>
      </w:hyperlink>
    </w:p>
    <w:p>
      <w:pPr>
        <w:pStyle w:val="Tableoffigures"/>
        <w:tabs>
          <w:tab w:val="clear" w:pos="708"/>
          <w:tab w:val="right" w:pos="9061" w:leader="dot"/>
        </w:tabs>
        <w:rPr>
          <w:rFonts w:ascii="Calibri" w:hAnsi="Calibri" w:eastAsia="" w:asciiTheme="minorHAnsi" w:eastAsiaTheme="minorEastAsia" w:hAnsiTheme="minorHAnsi"/>
          <w:kern w:val="2"/>
          <w:sz w:val="22"/>
          <w:lang w:eastAsia="pt-BR"/>
          <w14:ligatures w14:val="standardContextual"/>
        </w:rPr>
      </w:pPr>
      <w:hyperlink w:anchor="_Toc153611317">
        <w:r>
          <w:rPr>
            <w:rStyle w:val="Vnculodendice"/>
          </w:rPr>
          <w:t>Figura 34 - Programa de Gerenciamento de Riscos - Obra B</w:t>
        </w:r>
        <w:r>
          <w:rPr>
            <w:webHidden/>
          </w:rPr>
          <w:fldChar w:fldCharType="begin"/>
        </w:r>
        <w:r>
          <w:rPr>
            <w:webHidden/>
          </w:rPr>
          <w:instrText>PAGEREF _Toc153611317 \h</w:instrText>
        </w:r>
        <w:r>
          <w:rPr>
            <w:webHidden/>
          </w:rPr>
          <w:fldChar w:fldCharType="separate"/>
        </w:r>
        <w:r>
          <w:rPr>
            <w:rStyle w:val="Vnculodendice"/>
            <w:vanish w:val="false"/>
          </w:rPr>
          <w:tab/>
          <w:t>58</w:t>
        </w:r>
        <w:r>
          <w:rPr>
            <w:webHidden/>
          </w:rPr>
          <w:fldChar w:fldCharType="end"/>
        </w:r>
      </w:hyperlink>
    </w:p>
    <w:p>
      <w:pPr>
        <w:pStyle w:val="Tableoffigures"/>
        <w:tabs>
          <w:tab w:val="clear" w:pos="708"/>
          <w:tab w:val="right" w:pos="9061" w:leader="dot"/>
        </w:tabs>
        <w:rPr>
          <w:rFonts w:ascii="Calibri" w:hAnsi="Calibri" w:eastAsia="" w:asciiTheme="minorHAnsi" w:eastAsiaTheme="minorEastAsia" w:hAnsiTheme="minorHAnsi"/>
          <w:kern w:val="2"/>
          <w:sz w:val="22"/>
          <w:lang w:eastAsia="pt-BR"/>
          <w14:ligatures w14:val="standardContextual"/>
        </w:rPr>
      </w:pPr>
      <w:hyperlink w:anchor="_Toc153611318">
        <w:r>
          <w:rPr>
            <w:rStyle w:val="Vnculodendice"/>
          </w:rPr>
          <w:t>Figura 35 - Refeitório - Obra B.</w:t>
        </w:r>
        <w:r>
          <w:rPr>
            <w:webHidden/>
          </w:rPr>
          <w:fldChar w:fldCharType="begin"/>
        </w:r>
        <w:r>
          <w:rPr>
            <w:webHidden/>
          </w:rPr>
          <w:instrText>PAGEREF _Toc153611318 \h</w:instrText>
        </w:r>
        <w:r>
          <w:rPr>
            <w:webHidden/>
          </w:rPr>
          <w:fldChar w:fldCharType="separate"/>
        </w:r>
        <w:r>
          <w:rPr>
            <w:rStyle w:val="Vnculodendice"/>
            <w:vanish w:val="false"/>
          </w:rPr>
          <w:tab/>
          <w:t>59</w:t>
        </w:r>
        <w:r>
          <w:rPr>
            <w:webHidden/>
          </w:rPr>
          <w:fldChar w:fldCharType="end"/>
        </w:r>
      </w:hyperlink>
    </w:p>
    <w:p>
      <w:pPr>
        <w:pStyle w:val="Tableoffigures"/>
        <w:tabs>
          <w:tab w:val="clear" w:pos="708"/>
          <w:tab w:val="right" w:pos="9061" w:leader="dot"/>
        </w:tabs>
        <w:rPr>
          <w:rFonts w:ascii="Calibri" w:hAnsi="Calibri" w:eastAsia="" w:asciiTheme="minorHAnsi" w:eastAsiaTheme="minorEastAsia" w:hAnsiTheme="minorHAnsi"/>
          <w:kern w:val="2"/>
          <w:sz w:val="22"/>
          <w:lang w:eastAsia="pt-BR"/>
          <w14:ligatures w14:val="standardContextual"/>
        </w:rPr>
      </w:pPr>
      <w:hyperlink w:anchor="_Toc153611319">
        <w:r>
          <w:rPr>
            <w:rStyle w:val="Vnculodendice"/>
          </w:rPr>
          <w:t>Figura 36 - Vista geral – sanitários da Obra B.</w:t>
        </w:r>
        <w:r>
          <w:rPr>
            <w:webHidden/>
          </w:rPr>
          <w:fldChar w:fldCharType="begin"/>
        </w:r>
        <w:r>
          <w:rPr>
            <w:webHidden/>
          </w:rPr>
          <w:instrText>PAGEREF _Toc153611319 \h</w:instrText>
        </w:r>
        <w:r>
          <w:rPr>
            <w:webHidden/>
          </w:rPr>
          <w:fldChar w:fldCharType="separate"/>
        </w:r>
        <w:r>
          <w:rPr>
            <w:rStyle w:val="Vnculodendice"/>
            <w:vanish w:val="false"/>
          </w:rPr>
          <w:tab/>
          <w:t>59</w:t>
        </w:r>
        <w:r>
          <w:rPr>
            <w:webHidden/>
          </w:rPr>
          <w:fldChar w:fldCharType="end"/>
        </w:r>
      </w:hyperlink>
    </w:p>
    <w:p>
      <w:pPr>
        <w:pStyle w:val="Tableoffigures"/>
        <w:tabs>
          <w:tab w:val="clear" w:pos="708"/>
          <w:tab w:val="right" w:pos="9061" w:leader="dot"/>
        </w:tabs>
        <w:rPr>
          <w:rFonts w:ascii="Calibri" w:hAnsi="Calibri" w:eastAsia="" w:asciiTheme="minorHAnsi" w:eastAsiaTheme="minorEastAsia" w:hAnsiTheme="minorHAnsi"/>
          <w:kern w:val="2"/>
          <w:sz w:val="22"/>
          <w:lang w:eastAsia="pt-BR"/>
          <w14:ligatures w14:val="standardContextual"/>
        </w:rPr>
      </w:pPr>
      <w:hyperlink w:anchor="_Toc153611320">
        <w:r>
          <w:rPr>
            <w:rStyle w:val="Vnculodendice"/>
          </w:rPr>
          <w:t>Figura 37 - Bacia sanitária com assento com tampa da Obra B.</w:t>
        </w:r>
        <w:r>
          <w:rPr>
            <w:webHidden/>
          </w:rPr>
          <w:fldChar w:fldCharType="begin"/>
        </w:r>
        <w:r>
          <w:rPr>
            <w:webHidden/>
          </w:rPr>
          <w:instrText>PAGEREF _Toc153611320 \h</w:instrText>
        </w:r>
        <w:r>
          <w:rPr>
            <w:webHidden/>
          </w:rPr>
          <w:fldChar w:fldCharType="separate"/>
        </w:r>
        <w:r>
          <w:rPr>
            <w:rStyle w:val="Vnculodendice"/>
            <w:vanish w:val="false"/>
          </w:rPr>
          <w:tab/>
          <w:t>60</w:t>
        </w:r>
        <w:r>
          <w:rPr>
            <w:webHidden/>
          </w:rPr>
          <w:fldChar w:fldCharType="end"/>
        </w:r>
      </w:hyperlink>
    </w:p>
    <w:p>
      <w:pPr>
        <w:pStyle w:val="Tableoffigures"/>
        <w:tabs>
          <w:tab w:val="clear" w:pos="708"/>
          <w:tab w:val="right" w:pos="9061" w:leader="dot"/>
        </w:tabs>
        <w:rPr>
          <w:rFonts w:ascii="Calibri" w:hAnsi="Calibri" w:eastAsia="" w:asciiTheme="minorHAnsi" w:eastAsiaTheme="minorEastAsia" w:hAnsiTheme="minorHAnsi"/>
          <w:kern w:val="2"/>
          <w:sz w:val="22"/>
          <w:lang w:eastAsia="pt-BR"/>
          <w14:ligatures w14:val="standardContextual"/>
        </w:rPr>
      </w:pPr>
      <w:hyperlink w:anchor="_Toc153611321">
        <w:r>
          <w:rPr>
            <w:rStyle w:val="Vnculodendice"/>
          </w:rPr>
          <w:t>Figura 38 - Vista geral dos chuveiros.</w:t>
        </w:r>
        <w:r>
          <w:rPr>
            <w:webHidden/>
          </w:rPr>
          <w:fldChar w:fldCharType="begin"/>
        </w:r>
        <w:r>
          <w:rPr>
            <w:webHidden/>
          </w:rPr>
          <w:instrText>PAGEREF _Toc153611321 \h</w:instrText>
        </w:r>
        <w:r>
          <w:rPr>
            <w:webHidden/>
          </w:rPr>
          <w:fldChar w:fldCharType="separate"/>
        </w:r>
        <w:r>
          <w:rPr>
            <w:rStyle w:val="Vnculodendice"/>
            <w:vanish w:val="false"/>
          </w:rPr>
          <w:tab/>
          <w:t>60</w:t>
        </w:r>
        <w:r>
          <w:rPr>
            <w:webHidden/>
          </w:rPr>
          <w:fldChar w:fldCharType="end"/>
        </w:r>
      </w:hyperlink>
    </w:p>
    <w:p>
      <w:pPr>
        <w:pStyle w:val="Tableoffigures"/>
        <w:tabs>
          <w:tab w:val="clear" w:pos="708"/>
          <w:tab w:val="right" w:pos="9061" w:leader="dot"/>
        </w:tabs>
        <w:rPr>
          <w:rFonts w:ascii="Calibri" w:hAnsi="Calibri" w:eastAsia="" w:asciiTheme="minorHAnsi" w:eastAsiaTheme="minorEastAsia" w:hAnsiTheme="minorHAnsi"/>
          <w:kern w:val="2"/>
          <w:sz w:val="22"/>
          <w:lang w:eastAsia="pt-BR"/>
          <w14:ligatures w14:val="standardContextual"/>
        </w:rPr>
      </w:pPr>
      <w:hyperlink w:anchor="_Toc153611322">
        <w:r>
          <w:rPr>
            <w:rStyle w:val="Vnculodendice"/>
          </w:rPr>
          <w:t>Figura 39 - Chuveiro elétrico - Obra B.</w:t>
        </w:r>
        <w:r>
          <w:rPr>
            <w:webHidden/>
          </w:rPr>
          <w:fldChar w:fldCharType="begin"/>
        </w:r>
        <w:r>
          <w:rPr>
            <w:webHidden/>
          </w:rPr>
          <w:instrText>PAGEREF _Toc153611322 \h</w:instrText>
        </w:r>
        <w:r>
          <w:rPr>
            <w:webHidden/>
          </w:rPr>
          <w:fldChar w:fldCharType="separate"/>
        </w:r>
        <w:r>
          <w:rPr>
            <w:rStyle w:val="Vnculodendice"/>
            <w:vanish w:val="false"/>
          </w:rPr>
          <w:tab/>
          <w:t>61</w:t>
        </w:r>
        <w:r>
          <w:rPr>
            <w:webHidden/>
          </w:rPr>
          <w:fldChar w:fldCharType="end"/>
        </w:r>
      </w:hyperlink>
    </w:p>
    <w:p>
      <w:pPr>
        <w:pStyle w:val="Tableoffigures"/>
        <w:tabs>
          <w:tab w:val="clear" w:pos="708"/>
          <w:tab w:val="right" w:pos="9061" w:leader="dot"/>
        </w:tabs>
        <w:rPr>
          <w:rFonts w:ascii="Calibri" w:hAnsi="Calibri" w:eastAsia="" w:asciiTheme="minorHAnsi" w:eastAsiaTheme="minorEastAsia" w:hAnsiTheme="minorHAnsi"/>
          <w:kern w:val="2"/>
          <w:sz w:val="22"/>
          <w:lang w:eastAsia="pt-BR"/>
          <w14:ligatures w14:val="standardContextual"/>
        </w:rPr>
      </w:pPr>
      <w:hyperlink w:anchor="_Toc153611323">
        <w:r>
          <w:rPr>
            <w:rStyle w:val="Vnculodendice"/>
          </w:rPr>
          <w:t>Figura 40 - Vestiário - Obra B</w:t>
        </w:r>
        <w:r>
          <w:rPr>
            <w:webHidden/>
          </w:rPr>
          <w:fldChar w:fldCharType="begin"/>
        </w:r>
        <w:r>
          <w:rPr>
            <w:webHidden/>
          </w:rPr>
          <w:instrText>PAGEREF _Toc153611323 \h</w:instrText>
        </w:r>
        <w:r>
          <w:rPr>
            <w:webHidden/>
          </w:rPr>
          <w:fldChar w:fldCharType="separate"/>
        </w:r>
        <w:r>
          <w:rPr>
            <w:rStyle w:val="Vnculodendice"/>
            <w:vanish w:val="false"/>
          </w:rPr>
          <w:tab/>
          <w:t>61</w:t>
        </w:r>
        <w:r>
          <w:rPr>
            <w:webHidden/>
          </w:rPr>
          <w:fldChar w:fldCharType="end"/>
        </w:r>
      </w:hyperlink>
    </w:p>
    <w:p>
      <w:pPr>
        <w:pStyle w:val="Tableoffigures"/>
        <w:tabs>
          <w:tab w:val="clear" w:pos="708"/>
          <w:tab w:val="right" w:pos="9061" w:leader="dot"/>
        </w:tabs>
        <w:rPr>
          <w:rFonts w:ascii="Calibri" w:hAnsi="Calibri" w:eastAsia="" w:asciiTheme="minorHAnsi" w:eastAsiaTheme="minorEastAsia" w:hAnsiTheme="minorHAnsi"/>
          <w:kern w:val="2"/>
          <w:sz w:val="22"/>
          <w:lang w:eastAsia="pt-BR"/>
          <w14:ligatures w14:val="standardContextual"/>
        </w:rPr>
      </w:pPr>
      <w:hyperlink w:anchor="_Toc153611324">
        <w:r>
          <w:rPr>
            <w:rStyle w:val="Vnculodendice"/>
          </w:rPr>
          <w:t>Figura 41 - Quadro de distribuição das instalações elétricas - Obra B.</w:t>
        </w:r>
        <w:r>
          <w:rPr>
            <w:webHidden/>
          </w:rPr>
          <w:fldChar w:fldCharType="begin"/>
        </w:r>
        <w:r>
          <w:rPr>
            <w:webHidden/>
          </w:rPr>
          <w:instrText>PAGEREF _Toc153611324 \h</w:instrText>
        </w:r>
        <w:r>
          <w:rPr>
            <w:webHidden/>
          </w:rPr>
          <w:fldChar w:fldCharType="separate"/>
        </w:r>
        <w:r>
          <w:rPr>
            <w:rStyle w:val="Vnculodendice"/>
            <w:vanish w:val="false"/>
          </w:rPr>
          <w:tab/>
          <w:t>62</w:t>
        </w:r>
        <w:r>
          <w:rPr>
            <w:webHidden/>
          </w:rPr>
          <w:fldChar w:fldCharType="end"/>
        </w:r>
      </w:hyperlink>
    </w:p>
    <w:p>
      <w:pPr>
        <w:pStyle w:val="Tableoffigures"/>
        <w:tabs>
          <w:tab w:val="clear" w:pos="708"/>
          <w:tab w:val="right" w:pos="9061" w:leader="dot"/>
        </w:tabs>
        <w:rPr>
          <w:rFonts w:ascii="Calibri" w:hAnsi="Calibri" w:eastAsia="" w:asciiTheme="minorHAnsi" w:eastAsiaTheme="minorEastAsia" w:hAnsiTheme="minorHAnsi"/>
          <w:kern w:val="2"/>
          <w:sz w:val="22"/>
          <w:lang w:eastAsia="pt-BR"/>
          <w14:ligatures w14:val="standardContextual"/>
        </w:rPr>
      </w:pPr>
      <w:hyperlink w:anchor="_Toc153611325">
        <w:r>
          <w:rPr>
            <w:rStyle w:val="Vnculodendice"/>
          </w:rPr>
          <w:t>Figura 42 - Identificação interna do quadro elétrico – Obra B.</w:t>
        </w:r>
        <w:r>
          <w:rPr>
            <w:webHidden/>
          </w:rPr>
          <w:fldChar w:fldCharType="begin"/>
        </w:r>
        <w:r>
          <w:rPr>
            <w:webHidden/>
          </w:rPr>
          <w:instrText>PAGEREF _Toc153611325 \h</w:instrText>
        </w:r>
        <w:r>
          <w:rPr>
            <w:webHidden/>
          </w:rPr>
          <w:fldChar w:fldCharType="separate"/>
        </w:r>
        <w:r>
          <w:rPr>
            <w:rStyle w:val="Vnculodendice"/>
            <w:vanish w:val="false"/>
          </w:rPr>
          <w:tab/>
          <w:t>62</w:t>
        </w:r>
        <w:r>
          <w:rPr>
            <w:webHidden/>
          </w:rPr>
          <w:fldChar w:fldCharType="end"/>
        </w:r>
      </w:hyperlink>
    </w:p>
    <w:p>
      <w:pPr>
        <w:pStyle w:val="Tableoffigures"/>
        <w:tabs>
          <w:tab w:val="clear" w:pos="708"/>
          <w:tab w:val="right" w:pos="9061" w:leader="dot"/>
        </w:tabs>
        <w:rPr>
          <w:rFonts w:ascii="Calibri" w:hAnsi="Calibri" w:eastAsia="" w:asciiTheme="minorHAnsi" w:eastAsiaTheme="minorEastAsia" w:hAnsiTheme="minorHAnsi"/>
          <w:kern w:val="2"/>
          <w:sz w:val="22"/>
          <w:lang w:eastAsia="pt-BR"/>
          <w14:ligatures w14:val="standardContextual"/>
        </w:rPr>
      </w:pPr>
      <w:hyperlink w:anchor="_Toc153611326">
        <w:r>
          <w:rPr>
            <w:rStyle w:val="Vnculodendice"/>
          </w:rPr>
          <w:t>Figura 43 - Escada de acesso ao canteiro da Obra B.</w:t>
        </w:r>
        <w:r>
          <w:rPr>
            <w:webHidden/>
          </w:rPr>
          <w:fldChar w:fldCharType="begin"/>
        </w:r>
        <w:r>
          <w:rPr>
            <w:webHidden/>
          </w:rPr>
          <w:instrText>PAGEREF _Toc153611326 \h</w:instrText>
        </w:r>
        <w:r>
          <w:rPr>
            <w:webHidden/>
          </w:rPr>
          <w:fldChar w:fldCharType="separate"/>
        </w:r>
        <w:r>
          <w:rPr>
            <w:rStyle w:val="Vnculodendice"/>
            <w:vanish w:val="false"/>
          </w:rPr>
          <w:tab/>
          <w:t>63</w:t>
        </w:r>
        <w:r>
          <w:rPr>
            <w:webHidden/>
          </w:rPr>
          <w:fldChar w:fldCharType="end"/>
        </w:r>
      </w:hyperlink>
    </w:p>
    <w:p>
      <w:pPr>
        <w:pStyle w:val="Tableoffigures"/>
        <w:tabs>
          <w:tab w:val="clear" w:pos="708"/>
          <w:tab w:val="right" w:pos="9061" w:leader="dot"/>
        </w:tabs>
        <w:rPr>
          <w:rFonts w:ascii="Calibri" w:hAnsi="Calibri" w:eastAsia="" w:asciiTheme="minorHAnsi" w:eastAsiaTheme="minorEastAsia" w:hAnsiTheme="minorHAnsi"/>
          <w:kern w:val="2"/>
          <w:sz w:val="22"/>
          <w:lang w:eastAsia="pt-BR"/>
          <w14:ligatures w14:val="standardContextual"/>
        </w:rPr>
      </w:pPr>
      <w:hyperlink w:anchor="_Toc153611327">
        <w:r>
          <w:rPr>
            <w:rStyle w:val="Vnculodendice"/>
          </w:rPr>
          <w:t>Figura 44 - Escada de acesso ao fundo do canteiro da Obra B.</w:t>
        </w:r>
        <w:r>
          <w:rPr>
            <w:webHidden/>
          </w:rPr>
          <w:fldChar w:fldCharType="begin"/>
        </w:r>
        <w:r>
          <w:rPr>
            <w:webHidden/>
          </w:rPr>
          <w:instrText>PAGEREF _Toc153611327 \h</w:instrText>
        </w:r>
        <w:r>
          <w:rPr>
            <w:webHidden/>
          </w:rPr>
          <w:fldChar w:fldCharType="separate"/>
        </w:r>
        <w:r>
          <w:rPr>
            <w:rStyle w:val="Vnculodendice"/>
            <w:vanish w:val="false"/>
          </w:rPr>
          <w:tab/>
          <w:t>63</w:t>
        </w:r>
        <w:r>
          <w:rPr>
            <w:webHidden/>
          </w:rPr>
          <w:fldChar w:fldCharType="end"/>
        </w:r>
      </w:hyperlink>
    </w:p>
    <w:p>
      <w:pPr>
        <w:pStyle w:val="Tableoffigures"/>
        <w:tabs>
          <w:tab w:val="clear" w:pos="708"/>
          <w:tab w:val="right" w:pos="9061" w:leader="dot"/>
        </w:tabs>
        <w:rPr>
          <w:rFonts w:ascii="Calibri" w:hAnsi="Calibri" w:eastAsia="" w:asciiTheme="minorHAnsi" w:eastAsiaTheme="minorEastAsia" w:hAnsiTheme="minorHAnsi"/>
          <w:kern w:val="2"/>
          <w:sz w:val="22"/>
          <w:lang w:eastAsia="pt-BR"/>
          <w14:ligatures w14:val="standardContextual"/>
        </w:rPr>
      </w:pPr>
      <w:hyperlink w:anchor="_Toc153611328">
        <w:r>
          <w:rPr>
            <w:rStyle w:val="Vnculodendice"/>
          </w:rPr>
          <w:t>Figura 45 - Instalação de guarda-corpo - Obra B.</w:t>
        </w:r>
        <w:r>
          <w:rPr>
            <w:webHidden/>
          </w:rPr>
          <w:fldChar w:fldCharType="begin"/>
        </w:r>
        <w:r>
          <w:rPr>
            <w:webHidden/>
          </w:rPr>
          <w:instrText>PAGEREF _Toc153611328 \h</w:instrText>
        </w:r>
        <w:r>
          <w:rPr>
            <w:webHidden/>
          </w:rPr>
          <w:fldChar w:fldCharType="separate"/>
        </w:r>
        <w:r>
          <w:rPr>
            <w:rStyle w:val="Vnculodendice"/>
            <w:vanish w:val="false"/>
          </w:rPr>
          <w:tab/>
          <w:t>64</w:t>
        </w:r>
        <w:r>
          <w:rPr>
            <w:webHidden/>
          </w:rPr>
          <w:fldChar w:fldCharType="end"/>
        </w:r>
      </w:hyperlink>
    </w:p>
    <w:p>
      <w:pPr>
        <w:pStyle w:val="Tableoffigures"/>
        <w:tabs>
          <w:tab w:val="clear" w:pos="708"/>
          <w:tab w:val="right" w:pos="9061" w:leader="dot"/>
        </w:tabs>
        <w:rPr>
          <w:rFonts w:ascii="Calibri" w:hAnsi="Calibri" w:eastAsia="" w:asciiTheme="minorHAnsi" w:eastAsiaTheme="minorEastAsia" w:hAnsiTheme="minorHAnsi"/>
          <w:kern w:val="2"/>
          <w:sz w:val="22"/>
          <w:lang w:eastAsia="pt-BR"/>
          <w14:ligatures w14:val="standardContextual"/>
        </w:rPr>
      </w:pPr>
      <w:hyperlink w:anchor="_Toc153611329">
        <w:r>
          <w:rPr>
            <w:rStyle w:val="Vnculodendice"/>
          </w:rPr>
          <w:t>Figura 46 - Sinalização do canteiro - Obra B.</w:t>
        </w:r>
        <w:r>
          <w:rPr>
            <w:webHidden/>
          </w:rPr>
          <w:fldChar w:fldCharType="begin"/>
        </w:r>
        <w:r>
          <w:rPr>
            <w:webHidden/>
          </w:rPr>
          <w:instrText>PAGEREF _Toc153611329 \h</w:instrText>
        </w:r>
        <w:r>
          <w:rPr>
            <w:webHidden/>
          </w:rPr>
          <w:fldChar w:fldCharType="separate"/>
        </w:r>
        <w:r>
          <w:rPr>
            <w:rStyle w:val="Vnculodendice"/>
            <w:vanish w:val="false"/>
          </w:rPr>
          <w:tab/>
          <w:t>64</w:t>
        </w:r>
        <w:r>
          <w:rPr>
            <w:webHidden/>
          </w:rPr>
          <w:fldChar w:fldCharType="end"/>
        </w:r>
      </w:hyperlink>
    </w:p>
    <w:p>
      <w:pPr>
        <w:pStyle w:val="Tableoffigures"/>
        <w:tabs>
          <w:tab w:val="clear" w:pos="708"/>
          <w:tab w:val="right" w:pos="9061" w:leader="dot"/>
        </w:tabs>
        <w:rPr>
          <w:rFonts w:ascii="Calibri" w:hAnsi="Calibri" w:eastAsia="" w:asciiTheme="minorHAnsi" w:eastAsiaTheme="minorEastAsia" w:hAnsiTheme="minorHAnsi"/>
          <w:kern w:val="2"/>
          <w:sz w:val="22"/>
          <w:lang w:eastAsia="pt-BR"/>
          <w14:ligatures w14:val="standardContextual"/>
        </w:rPr>
      </w:pPr>
      <w:hyperlink w:anchor="_Toc153611330">
        <w:r>
          <w:rPr>
            <w:rStyle w:val="Vnculodendice"/>
          </w:rPr>
          <w:t>Figura 47 - Sinalização saída de emergência - Obra B.</w:t>
        </w:r>
        <w:r>
          <w:rPr>
            <w:webHidden/>
          </w:rPr>
          <w:fldChar w:fldCharType="begin"/>
        </w:r>
        <w:r>
          <w:rPr>
            <w:webHidden/>
          </w:rPr>
          <w:instrText>PAGEREF _Toc153611330 \h</w:instrText>
        </w:r>
        <w:r>
          <w:rPr>
            <w:webHidden/>
          </w:rPr>
          <w:fldChar w:fldCharType="separate"/>
        </w:r>
        <w:r>
          <w:rPr>
            <w:rStyle w:val="Vnculodendice"/>
            <w:vanish w:val="false"/>
          </w:rPr>
          <w:tab/>
          <w:t>65</w:t>
        </w:r>
        <w:r>
          <w:rPr>
            <w:webHidden/>
          </w:rPr>
          <w:fldChar w:fldCharType="end"/>
        </w:r>
      </w:hyperlink>
    </w:p>
    <w:p>
      <w:pPr>
        <w:pStyle w:val="Tableoffigures"/>
        <w:tabs>
          <w:tab w:val="clear" w:pos="708"/>
          <w:tab w:val="right" w:pos="9061" w:leader="dot"/>
        </w:tabs>
        <w:rPr>
          <w:rFonts w:ascii="Calibri" w:hAnsi="Calibri" w:eastAsia="" w:asciiTheme="minorHAnsi" w:eastAsiaTheme="minorEastAsia" w:hAnsiTheme="minorHAnsi"/>
          <w:kern w:val="2"/>
          <w:sz w:val="22"/>
          <w:lang w:eastAsia="pt-BR"/>
          <w14:ligatures w14:val="standardContextual"/>
        </w:rPr>
      </w:pPr>
      <w:hyperlink w:anchor="_Toc153611331">
        <w:r>
          <w:rPr>
            <w:rStyle w:val="Vnculodendice"/>
          </w:rPr>
          <w:t>Figura 48 - Extensão conectada à rede elétrica no chão - Obra B.</w:t>
        </w:r>
        <w:r>
          <w:rPr>
            <w:webHidden/>
          </w:rPr>
          <w:fldChar w:fldCharType="begin"/>
        </w:r>
        <w:r>
          <w:rPr>
            <w:webHidden/>
          </w:rPr>
          <w:instrText>PAGEREF _Toc153611331 \h</w:instrText>
        </w:r>
        <w:r>
          <w:rPr>
            <w:webHidden/>
          </w:rPr>
          <w:fldChar w:fldCharType="separate"/>
        </w:r>
        <w:r>
          <w:rPr>
            <w:rStyle w:val="Vnculodendice"/>
            <w:vanish w:val="false"/>
          </w:rPr>
          <w:tab/>
          <w:t>66</w:t>
        </w:r>
        <w:r>
          <w:rPr>
            <w:webHidden/>
          </w:rPr>
          <w:fldChar w:fldCharType="end"/>
        </w:r>
      </w:hyperlink>
    </w:p>
    <w:p>
      <w:pPr>
        <w:pStyle w:val="Tableoffigures"/>
        <w:tabs>
          <w:tab w:val="clear" w:pos="708"/>
          <w:tab w:val="right" w:pos="9061" w:leader="dot"/>
        </w:tabs>
        <w:rPr>
          <w:rFonts w:ascii="Calibri" w:hAnsi="Calibri" w:eastAsia="" w:asciiTheme="minorHAnsi" w:eastAsiaTheme="minorEastAsia" w:hAnsiTheme="minorHAnsi"/>
          <w:kern w:val="2"/>
          <w:sz w:val="22"/>
          <w:lang w:eastAsia="pt-BR"/>
          <w14:ligatures w14:val="standardContextual"/>
        </w:rPr>
      </w:pPr>
      <w:hyperlink w:anchor="_Toc153611332">
        <w:r>
          <w:rPr>
            <w:rStyle w:val="Vnculodendice"/>
          </w:rPr>
          <w:t>Figura 49 - Quadro elétrico com parte vivas expostas - Obra B.</w:t>
        </w:r>
        <w:r>
          <w:rPr>
            <w:webHidden/>
          </w:rPr>
          <w:fldChar w:fldCharType="begin"/>
        </w:r>
        <w:r>
          <w:rPr>
            <w:webHidden/>
          </w:rPr>
          <w:instrText>PAGEREF _Toc153611332 \h</w:instrText>
        </w:r>
        <w:r>
          <w:rPr>
            <w:webHidden/>
          </w:rPr>
          <w:fldChar w:fldCharType="separate"/>
        </w:r>
        <w:r>
          <w:rPr>
            <w:rStyle w:val="Vnculodendice"/>
            <w:vanish w:val="false"/>
          </w:rPr>
          <w:tab/>
          <w:t>66</w:t>
        </w:r>
        <w:r>
          <w:rPr>
            <w:webHidden/>
          </w:rPr>
          <w:fldChar w:fldCharType="end"/>
        </w:r>
      </w:hyperlink>
    </w:p>
    <w:p>
      <w:pPr>
        <w:pStyle w:val="Tableoffigures"/>
        <w:tabs>
          <w:tab w:val="clear" w:pos="708"/>
          <w:tab w:val="right" w:pos="9061" w:leader="dot"/>
        </w:tabs>
        <w:rPr>
          <w:rFonts w:ascii="Calibri" w:hAnsi="Calibri" w:eastAsia="" w:asciiTheme="minorHAnsi" w:eastAsiaTheme="minorEastAsia" w:hAnsiTheme="minorHAnsi"/>
          <w:kern w:val="2"/>
          <w:sz w:val="22"/>
          <w:lang w:eastAsia="pt-BR"/>
          <w14:ligatures w14:val="standardContextual"/>
        </w:rPr>
      </w:pPr>
      <w:hyperlink w:anchor="_Toc153611333">
        <w:r>
          <w:rPr>
            <w:rStyle w:val="Vnculodendice"/>
          </w:rPr>
          <w:t>Figura 50 - Instalação da betoneira - Obra B.</w:t>
        </w:r>
        <w:r>
          <w:rPr>
            <w:webHidden/>
          </w:rPr>
          <w:fldChar w:fldCharType="begin"/>
        </w:r>
        <w:r>
          <w:rPr>
            <w:webHidden/>
          </w:rPr>
          <w:instrText>PAGEREF _Toc153611333 \h</w:instrText>
        </w:r>
        <w:r>
          <w:rPr>
            <w:webHidden/>
          </w:rPr>
          <w:fldChar w:fldCharType="separate"/>
        </w:r>
        <w:r>
          <w:rPr>
            <w:rStyle w:val="Vnculodendice"/>
            <w:vanish w:val="false"/>
          </w:rPr>
          <w:tab/>
          <w:t>67</w:t>
        </w:r>
        <w:r>
          <w:rPr>
            <w:webHidden/>
          </w:rPr>
          <w:fldChar w:fldCharType="end"/>
        </w:r>
      </w:hyperlink>
    </w:p>
    <w:p>
      <w:pPr>
        <w:pStyle w:val="Tableoffigures"/>
        <w:tabs>
          <w:tab w:val="clear" w:pos="708"/>
          <w:tab w:val="right" w:pos="9061" w:leader="dot"/>
        </w:tabs>
        <w:rPr>
          <w:rFonts w:ascii="Calibri" w:hAnsi="Calibri" w:eastAsia="" w:asciiTheme="minorHAnsi" w:eastAsiaTheme="minorEastAsia" w:hAnsiTheme="minorHAnsi"/>
          <w:kern w:val="2"/>
          <w:sz w:val="22"/>
          <w:lang w:eastAsia="pt-BR"/>
          <w14:ligatures w14:val="standardContextual"/>
        </w:rPr>
      </w:pPr>
      <w:hyperlink w:anchor="_Toc153611334">
        <w:r>
          <w:rPr>
            <w:rStyle w:val="Vnculodendice"/>
          </w:rPr>
          <w:t>Figura 51 - Manutenção na tela de sinalização - Obra B.</w:t>
        </w:r>
        <w:r>
          <w:rPr>
            <w:webHidden/>
          </w:rPr>
          <w:fldChar w:fldCharType="begin"/>
        </w:r>
        <w:r>
          <w:rPr>
            <w:webHidden/>
          </w:rPr>
          <w:instrText>PAGEREF _Toc153611334 \h</w:instrText>
        </w:r>
        <w:r>
          <w:rPr>
            <w:webHidden/>
          </w:rPr>
          <w:fldChar w:fldCharType="separate"/>
        </w:r>
        <w:r>
          <w:rPr>
            <w:rStyle w:val="Vnculodendice"/>
            <w:vanish w:val="false"/>
          </w:rPr>
          <w:tab/>
          <w:t>68</w:t>
        </w:r>
        <w:r>
          <w:rPr>
            <w:webHidden/>
          </w:rPr>
          <w:fldChar w:fldCharType="end"/>
        </w:r>
      </w:hyperlink>
    </w:p>
    <w:p>
      <w:pPr>
        <w:pStyle w:val="Tableoffigures"/>
        <w:tabs>
          <w:tab w:val="clear" w:pos="708"/>
          <w:tab w:val="right" w:pos="9061" w:leader="dot"/>
        </w:tabs>
        <w:rPr>
          <w:rFonts w:ascii="Calibri" w:hAnsi="Calibri" w:eastAsia="" w:asciiTheme="minorHAnsi" w:eastAsiaTheme="minorEastAsia" w:hAnsiTheme="minorHAnsi"/>
          <w:kern w:val="2"/>
          <w:sz w:val="22"/>
          <w:lang w:eastAsia="pt-BR"/>
          <w14:ligatures w14:val="standardContextual"/>
        </w:rPr>
      </w:pPr>
      <w:hyperlink w:anchor="_Toc153611335">
        <w:r>
          <w:rPr>
            <w:rStyle w:val="Vnculodendice"/>
          </w:rPr>
          <w:t>Figura 52 - Relação dos itens avaliados - Obra B.</w:t>
        </w:r>
        <w:r>
          <w:rPr>
            <w:webHidden/>
          </w:rPr>
          <w:fldChar w:fldCharType="begin"/>
        </w:r>
        <w:r>
          <w:rPr>
            <w:webHidden/>
          </w:rPr>
          <w:instrText>PAGEREF _Toc153611335 \h</w:instrText>
        </w:r>
        <w:r>
          <w:rPr>
            <w:webHidden/>
          </w:rPr>
          <w:fldChar w:fldCharType="separate"/>
        </w:r>
        <w:r>
          <w:rPr>
            <w:rStyle w:val="Vnculodendice"/>
            <w:vanish w:val="false"/>
          </w:rPr>
          <w:tab/>
          <w:t>70</w:t>
        </w:r>
        <w:r>
          <w:rPr>
            <w:webHidden/>
          </w:rPr>
          <w:fldChar w:fldCharType="end"/>
        </w:r>
      </w:hyperlink>
    </w:p>
    <w:p>
      <w:pPr>
        <w:pStyle w:val="Tableoffigures"/>
        <w:tabs>
          <w:tab w:val="clear" w:pos="708"/>
          <w:tab w:val="right" w:pos="9061" w:leader="dot"/>
        </w:tabs>
        <w:rPr>
          <w:rFonts w:ascii="Calibri" w:hAnsi="Calibri" w:eastAsia="" w:asciiTheme="minorHAnsi" w:eastAsiaTheme="minorEastAsia" w:hAnsiTheme="minorHAnsi"/>
          <w:kern w:val="2"/>
          <w:sz w:val="22"/>
          <w:lang w:eastAsia="pt-BR"/>
          <w14:ligatures w14:val="standardContextual"/>
        </w:rPr>
      </w:pPr>
      <w:hyperlink w:anchor="_Toc153611336">
        <w:r>
          <w:rPr>
            <w:rStyle w:val="Vnculodendice"/>
          </w:rPr>
          <w:t>Figura 53 - Vista panorâmica - Obra C.</w:t>
        </w:r>
        <w:r>
          <w:rPr>
            <w:webHidden/>
          </w:rPr>
          <w:fldChar w:fldCharType="begin"/>
        </w:r>
        <w:r>
          <w:rPr>
            <w:webHidden/>
          </w:rPr>
          <w:instrText>PAGEREF _Toc153611336 \h</w:instrText>
        </w:r>
        <w:r>
          <w:rPr>
            <w:webHidden/>
          </w:rPr>
          <w:fldChar w:fldCharType="separate"/>
        </w:r>
        <w:r>
          <w:rPr>
            <w:rStyle w:val="Vnculodendice"/>
            <w:vanish w:val="false"/>
          </w:rPr>
          <w:tab/>
          <w:t>71</w:t>
        </w:r>
        <w:r>
          <w:rPr>
            <w:webHidden/>
          </w:rPr>
          <w:fldChar w:fldCharType="end"/>
        </w:r>
      </w:hyperlink>
    </w:p>
    <w:p>
      <w:pPr>
        <w:pStyle w:val="Tableoffigures"/>
        <w:tabs>
          <w:tab w:val="clear" w:pos="708"/>
          <w:tab w:val="right" w:pos="9061" w:leader="dot"/>
        </w:tabs>
        <w:rPr>
          <w:rFonts w:ascii="Calibri" w:hAnsi="Calibri" w:eastAsia="" w:asciiTheme="minorHAnsi" w:eastAsiaTheme="minorEastAsia" w:hAnsiTheme="minorHAnsi"/>
          <w:kern w:val="2"/>
          <w:sz w:val="22"/>
          <w:lang w:eastAsia="pt-BR"/>
          <w14:ligatures w14:val="standardContextual"/>
        </w:rPr>
      </w:pPr>
      <w:hyperlink w:anchor="_Toc153611337">
        <w:r>
          <w:rPr>
            <w:rStyle w:val="Vnculodendice"/>
          </w:rPr>
          <w:t>Figura 54 - Catraca de acesso para entrar na Obra C.</w:t>
        </w:r>
        <w:r>
          <w:rPr>
            <w:webHidden/>
          </w:rPr>
          <w:fldChar w:fldCharType="begin"/>
        </w:r>
        <w:r>
          <w:rPr>
            <w:webHidden/>
          </w:rPr>
          <w:instrText>PAGEREF _Toc153611337 \h</w:instrText>
        </w:r>
        <w:r>
          <w:rPr>
            <w:webHidden/>
          </w:rPr>
          <w:fldChar w:fldCharType="separate"/>
        </w:r>
        <w:r>
          <w:rPr>
            <w:rStyle w:val="Vnculodendice"/>
            <w:vanish w:val="false"/>
          </w:rPr>
          <w:tab/>
          <w:t>71</w:t>
        </w:r>
        <w:r>
          <w:rPr>
            <w:webHidden/>
          </w:rPr>
          <w:fldChar w:fldCharType="end"/>
        </w:r>
      </w:hyperlink>
    </w:p>
    <w:p>
      <w:pPr>
        <w:pStyle w:val="Tableoffigures"/>
        <w:tabs>
          <w:tab w:val="clear" w:pos="708"/>
          <w:tab w:val="right" w:pos="9061" w:leader="dot"/>
        </w:tabs>
        <w:rPr>
          <w:rFonts w:ascii="Calibri" w:hAnsi="Calibri" w:eastAsia="" w:asciiTheme="minorHAnsi" w:eastAsiaTheme="minorEastAsia" w:hAnsiTheme="minorHAnsi"/>
          <w:kern w:val="2"/>
          <w:sz w:val="22"/>
          <w:lang w:eastAsia="pt-BR"/>
          <w14:ligatures w14:val="standardContextual"/>
        </w:rPr>
      </w:pPr>
      <w:hyperlink w:anchor="_Toc153611338">
        <w:r>
          <w:rPr>
            <w:rStyle w:val="Vnculodendice"/>
          </w:rPr>
          <w:t>Figura 55 - Programa de Gerenciamento de Riscos - Obra C.</w:t>
        </w:r>
        <w:r>
          <w:rPr>
            <w:webHidden/>
          </w:rPr>
          <w:fldChar w:fldCharType="begin"/>
        </w:r>
        <w:r>
          <w:rPr>
            <w:webHidden/>
          </w:rPr>
          <w:instrText>PAGEREF _Toc153611338 \h</w:instrText>
        </w:r>
        <w:r>
          <w:rPr>
            <w:webHidden/>
          </w:rPr>
          <w:fldChar w:fldCharType="separate"/>
        </w:r>
        <w:r>
          <w:rPr>
            <w:rStyle w:val="Vnculodendice"/>
            <w:vanish w:val="false"/>
          </w:rPr>
          <w:tab/>
          <w:t>72</w:t>
        </w:r>
        <w:r>
          <w:rPr>
            <w:webHidden/>
          </w:rPr>
          <w:fldChar w:fldCharType="end"/>
        </w:r>
      </w:hyperlink>
    </w:p>
    <w:p>
      <w:pPr>
        <w:pStyle w:val="Tableoffigures"/>
        <w:tabs>
          <w:tab w:val="clear" w:pos="708"/>
          <w:tab w:val="right" w:pos="9061" w:leader="dot"/>
        </w:tabs>
        <w:rPr>
          <w:rFonts w:ascii="Calibri" w:hAnsi="Calibri" w:eastAsia="" w:asciiTheme="minorHAnsi" w:eastAsiaTheme="minorEastAsia" w:hAnsiTheme="minorHAnsi"/>
          <w:kern w:val="2"/>
          <w:sz w:val="22"/>
          <w:lang w:eastAsia="pt-BR"/>
          <w14:ligatures w14:val="standardContextual"/>
        </w:rPr>
      </w:pPr>
      <w:hyperlink w:anchor="_Toc153611339">
        <w:r>
          <w:rPr>
            <w:rStyle w:val="Vnculodendice"/>
          </w:rPr>
          <w:t>Figura 56 - Refeitório - Obra C.</w:t>
        </w:r>
        <w:r>
          <w:rPr>
            <w:webHidden/>
          </w:rPr>
          <w:fldChar w:fldCharType="begin"/>
        </w:r>
        <w:r>
          <w:rPr>
            <w:webHidden/>
          </w:rPr>
          <w:instrText>PAGEREF _Toc153611339 \h</w:instrText>
        </w:r>
        <w:r>
          <w:rPr>
            <w:webHidden/>
          </w:rPr>
          <w:fldChar w:fldCharType="separate"/>
        </w:r>
        <w:r>
          <w:rPr>
            <w:rStyle w:val="Vnculodendice"/>
            <w:vanish w:val="false"/>
          </w:rPr>
          <w:tab/>
          <w:t>73</w:t>
        </w:r>
        <w:r>
          <w:rPr>
            <w:webHidden/>
          </w:rPr>
          <w:fldChar w:fldCharType="end"/>
        </w:r>
      </w:hyperlink>
    </w:p>
    <w:p>
      <w:pPr>
        <w:pStyle w:val="Tableoffigures"/>
        <w:tabs>
          <w:tab w:val="clear" w:pos="708"/>
          <w:tab w:val="right" w:pos="9061" w:leader="dot"/>
        </w:tabs>
        <w:rPr>
          <w:rFonts w:ascii="Calibri" w:hAnsi="Calibri" w:eastAsia="" w:asciiTheme="minorHAnsi" w:eastAsiaTheme="minorEastAsia" w:hAnsiTheme="minorHAnsi"/>
          <w:kern w:val="2"/>
          <w:sz w:val="22"/>
          <w:lang w:eastAsia="pt-BR"/>
          <w14:ligatures w14:val="standardContextual"/>
        </w:rPr>
      </w:pPr>
      <w:hyperlink w:anchor="_Toc153611340">
        <w:r>
          <w:rPr>
            <w:rStyle w:val="Vnculodendice"/>
          </w:rPr>
          <w:t>Figura 57 - Vista geral - sanitários da Obra C.</w:t>
        </w:r>
        <w:r>
          <w:rPr>
            <w:webHidden/>
          </w:rPr>
          <w:fldChar w:fldCharType="begin"/>
        </w:r>
        <w:r>
          <w:rPr>
            <w:webHidden/>
          </w:rPr>
          <w:instrText>PAGEREF _Toc153611340 \h</w:instrText>
        </w:r>
        <w:r>
          <w:rPr>
            <w:webHidden/>
          </w:rPr>
          <w:fldChar w:fldCharType="separate"/>
        </w:r>
        <w:r>
          <w:rPr>
            <w:rStyle w:val="Vnculodendice"/>
            <w:vanish w:val="false"/>
          </w:rPr>
          <w:tab/>
          <w:t>73</w:t>
        </w:r>
        <w:r>
          <w:rPr>
            <w:webHidden/>
          </w:rPr>
          <w:fldChar w:fldCharType="end"/>
        </w:r>
      </w:hyperlink>
    </w:p>
    <w:p>
      <w:pPr>
        <w:pStyle w:val="Tableoffigures"/>
        <w:tabs>
          <w:tab w:val="clear" w:pos="708"/>
          <w:tab w:val="right" w:pos="9061" w:leader="dot"/>
        </w:tabs>
        <w:rPr>
          <w:rFonts w:ascii="Calibri" w:hAnsi="Calibri" w:eastAsia="" w:asciiTheme="minorHAnsi" w:eastAsiaTheme="minorEastAsia" w:hAnsiTheme="minorHAnsi"/>
          <w:kern w:val="2"/>
          <w:sz w:val="22"/>
          <w:lang w:eastAsia="pt-BR"/>
          <w14:ligatures w14:val="standardContextual"/>
        </w:rPr>
      </w:pPr>
      <w:hyperlink w:anchor="_Toc153611341">
        <w:r>
          <w:rPr>
            <w:rStyle w:val="Vnculodendice"/>
          </w:rPr>
          <w:t>Figura 58 - Bacia sanitária com assento com tampa da Obra C.</w:t>
        </w:r>
        <w:r>
          <w:rPr>
            <w:webHidden/>
          </w:rPr>
          <w:fldChar w:fldCharType="begin"/>
        </w:r>
        <w:r>
          <w:rPr>
            <w:webHidden/>
          </w:rPr>
          <w:instrText>PAGEREF _Toc153611341 \h</w:instrText>
        </w:r>
        <w:r>
          <w:rPr>
            <w:webHidden/>
          </w:rPr>
          <w:fldChar w:fldCharType="separate"/>
        </w:r>
        <w:r>
          <w:rPr>
            <w:rStyle w:val="Vnculodendice"/>
            <w:vanish w:val="false"/>
          </w:rPr>
          <w:tab/>
          <w:t>74</w:t>
        </w:r>
        <w:r>
          <w:rPr>
            <w:webHidden/>
          </w:rPr>
          <w:fldChar w:fldCharType="end"/>
        </w:r>
      </w:hyperlink>
    </w:p>
    <w:p>
      <w:pPr>
        <w:pStyle w:val="Tableoffigures"/>
        <w:tabs>
          <w:tab w:val="clear" w:pos="708"/>
          <w:tab w:val="right" w:pos="9061" w:leader="dot"/>
        </w:tabs>
        <w:rPr>
          <w:rFonts w:ascii="Calibri" w:hAnsi="Calibri" w:eastAsia="" w:asciiTheme="minorHAnsi" w:eastAsiaTheme="minorEastAsia" w:hAnsiTheme="minorHAnsi"/>
          <w:kern w:val="2"/>
          <w:sz w:val="22"/>
          <w:lang w:eastAsia="pt-BR"/>
          <w14:ligatures w14:val="standardContextual"/>
        </w:rPr>
      </w:pPr>
      <w:hyperlink w:anchor="_Toc153611342">
        <w:r>
          <w:rPr>
            <w:rStyle w:val="Vnculodendice"/>
          </w:rPr>
          <w:t>Figura 59 - Vista geral dos chuveiros - Obra C.</w:t>
        </w:r>
        <w:r>
          <w:rPr>
            <w:webHidden/>
          </w:rPr>
          <w:fldChar w:fldCharType="begin"/>
        </w:r>
        <w:r>
          <w:rPr>
            <w:webHidden/>
          </w:rPr>
          <w:instrText>PAGEREF _Toc153611342 \h</w:instrText>
        </w:r>
        <w:r>
          <w:rPr>
            <w:webHidden/>
          </w:rPr>
          <w:fldChar w:fldCharType="separate"/>
        </w:r>
        <w:r>
          <w:rPr>
            <w:rStyle w:val="Vnculodendice"/>
            <w:vanish w:val="false"/>
          </w:rPr>
          <w:tab/>
          <w:t>74</w:t>
        </w:r>
        <w:r>
          <w:rPr>
            <w:webHidden/>
          </w:rPr>
          <w:fldChar w:fldCharType="end"/>
        </w:r>
      </w:hyperlink>
    </w:p>
    <w:p>
      <w:pPr>
        <w:pStyle w:val="Tableoffigures"/>
        <w:tabs>
          <w:tab w:val="clear" w:pos="708"/>
          <w:tab w:val="right" w:pos="9061" w:leader="dot"/>
        </w:tabs>
        <w:rPr>
          <w:rFonts w:ascii="Calibri" w:hAnsi="Calibri" w:eastAsia="" w:asciiTheme="minorHAnsi" w:eastAsiaTheme="minorEastAsia" w:hAnsiTheme="minorHAnsi"/>
          <w:kern w:val="2"/>
          <w:sz w:val="22"/>
          <w:lang w:eastAsia="pt-BR"/>
          <w14:ligatures w14:val="standardContextual"/>
        </w:rPr>
      </w:pPr>
      <w:hyperlink w:anchor="_Toc153611343">
        <w:r>
          <w:rPr>
            <w:rStyle w:val="Vnculodendice"/>
          </w:rPr>
          <w:t>Figura 60 - Chuveiro elétrico - Obra C.</w:t>
        </w:r>
        <w:r>
          <w:rPr>
            <w:webHidden/>
          </w:rPr>
          <w:fldChar w:fldCharType="begin"/>
        </w:r>
        <w:r>
          <w:rPr>
            <w:webHidden/>
          </w:rPr>
          <w:instrText>PAGEREF _Toc153611343 \h</w:instrText>
        </w:r>
        <w:r>
          <w:rPr>
            <w:webHidden/>
          </w:rPr>
          <w:fldChar w:fldCharType="separate"/>
        </w:r>
        <w:r>
          <w:rPr>
            <w:rStyle w:val="Vnculodendice"/>
            <w:vanish w:val="false"/>
          </w:rPr>
          <w:tab/>
          <w:t>75</w:t>
        </w:r>
        <w:r>
          <w:rPr>
            <w:webHidden/>
          </w:rPr>
          <w:fldChar w:fldCharType="end"/>
        </w:r>
      </w:hyperlink>
    </w:p>
    <w:p>
      <w:pPr>
        <w:pStyle w:val="Tableoffigures"/>
        <w:tabs>
          <w:tab w:val="clear" w:pos="708"/>
          <w:tab w:val="right" w:pos="9061" w:leader="dot"/>
        </w:tabs>
        <w:rPr>
          <w:rFonts w:ascii="Calibri" w:hAnsi="Calibri" w:eastAsia="" w:asciiTheme="minorHAnsi" w:eastAsiaTheme="minorEastAsia" w:hAnsiTheme="minorHAnsi"/>
          <w:kern w:val="2"/>
          <w:sz w:val="22"/>
          <w:lang w:eastAsia="pt-BR"/>
          <w14:ligatures w14:val="standardContextual"/>
        </w:rPr>
      </w:pPr>
      <w:hyperlink w:anchor="_Toc153611344">
        <w:r>
          <w:rPr>
            <w:rStyle w:val="Vnculodendice"/>
          </w:rPr>
          <w:t>Figura 61 -Vestiário - Obra C.</w:t>
        </w:r>
        <w:r>
          <w:rPr>
            <w:webHidden/>
          </w:rPr>
          <w:fldChar w:fldCharType="begin"/>
        </w:r>
        <w:r>
          <w:rPr>
            <w:webHidden/>
          </w:rPr>
          <w:instrText>PAGEREF _Toc153611344 \h</w:instrText>
        </w:r>
        <w:r>
          <w:rPr>
            <w:webHidden/>
          </w:rPr>
          <w:fldChar w:fldCharType="separate"/>
        </w:r>
        <w:r>
          <w:rPr>
            <w:rStyle w:val="Vnculodendice"/>
            <w:vanish w:val="false"/>
          </w:rPr>
          <w:tab/>
          <w:t>75</w:t>
        </w:r>
        <w:r>
          <w:rPr>
            <w:webHidden/>
          </w:rPr>
          <w:fldChar w:fldCharType="end"/>
        </w:r>
      </w:hyperlink>
    </w:p>
    <w:p>
      <w:pPr>
        <w:pStyle w:val="Tableoffigures"/>
        <w:tabs>
          <w:tab w:val="clear" w:pos="708"/>
          <w:tab w:val="right" w:pos="9061" w:leader="dot"/>
        </w:tabs>
        <w:rPr>
          <w:rFonts w:ascii="Calibri" w:hAnsi="Calibri" w:eastAsia="" w:asciiTheme="minorHAnsi" w:eastAsiaTheme="minorEastAsia" w:hAnsiTheme="minorHAnsi"/>
          <w:kern w:val="2"/>
          <w:sz w:val="22"/>
          <w:lang w:eastAsia="pt-BR"/>
          <w14:ligatures w14:val="standardContextual"/>
        </w:rPr>
      </w:pPr>
      <w:hyperlink w:anchor="_Toc153611345">
        <w:r>
          <w:rPr>
            <w:rStyle w:val="Vnculodendice"/>
          </w:rPr>
          <w:t>Figura 62 - Quadro de distribuição das instalações elétricas - Obra C.</w:t>
        </w:r>
        <w:r>
          <w:rPr>
            <w:webHidden/>
          </w:rPr>
          <w:fldChar w:fldCharType="begin"/>
        </w:r>
        <w:r>
          <w:rPr>
            <w:webHidden/>
          </w:rPr>
          <w:instrText>PAGEREF _Toc153611345 \h</w:instrText>
        </w:r>
        <w:r>
          <w:rPr>
            <w:webHidden/>
          </w:rPr>
          <w:fldChar w:fldCharType="separate"/>
        </w:r>
        <w:r>
          <w:rPr>
            <w:rStyle w:val="Vnculodendice"/>
            <w:vanish w:val="false"/>
          </w:rPr>
          <w:tab/>
          <w:t>76</w:t>
        </w:r>
        <w:r>
          <w:rPr>
            <w:webHidden/>
          </w:rPr>
          <w:fldChar w:fldCharType="end"/>
        </w:r>
      </w:hyperlink>
    </w:p>
    <w:p>
      <w:pPr>
        <w:pStyle w:val="Tableoffigures"/>
        <w:tabs>
          <w:tab w:val="clear" w:pos="708"/>
          <w:tab w:val="right" w:pos="9061" w:leader="dot"/>
        </w:tabs>
        <w:rPr>
          <w:rFonts w:ascii="Calibri" w:hAnsi="Calibri" w:eastAsia="" w:asciiTheme="minorHAnsi" w:eastAsiaTheme="minorEastAsia" w:hAnsiTheme="minorHAnsi"/>
          <w:kern w:val="2"/>
          <w:sz w:val="22"/>
          <w:lang w:eastAsia="pt-BR"/>
          <w14:ligatures w14:val="standardContextual"/>
        </w:rPr>
      </w:pPr>
      <w:hyperlink w:anchor="_Toc153611346">
        <w:r>
          <w:rPr>
            <w:rStyle w:val="Vnculodendice"/>
          </w:rPr>
          <w:t>Figura 63 - Escada de acesso ao canteiro da Obra C.</w:t>
        </w:r>
        <w:r>
          <w:rPr>
            <w:webHidden/>
          </w:rPr>
          <w:fldChar w:fldCharType="begin"/>
        </w:r>
        <w:r>
          <w:rPr>
            <w:webHidden/>
          </w:rPr>
          <w:instrText>PAGEREF _Toc153611346 \h</w:instrText>
        </w:r>
        <w:r>
          <w:rPr>
            <w:webHidden/>
          </w:rPr>
          <w:fldChar w:fldCharType="separate"/>
        </w:r>
        <w:r>
          <w:rPr>
            <w:rStyle w:val="Vnculodendice"/>
            <w:vanish w:val="false"/>
          </w:rPr>
          <w:tab/>
          <w:t>77</w:t>
        </w:r>
        <w:r>
          <w:rPr>
            <w:webHidden/>
          </w:rPr>
          <w:fldChar w:fldCharType="end"/>
        </w:r>
      </w:hyperlink>
    </w:p>
    <w:p>
      <w:pPr>
        <w:pStyle w:val="Tableoffigures"/>
        <w:tabs>
          <w:tab w:val="clear" w:pos="708"/>
          <w:tab w:val="right" w:pos="9061" w:leader="dot"/>
        </w:tabs>
        <w:rPr>
          <w:rFonts w:ascii="Calibri" w:hAnsi="Calibri" w:eastAsia="" w:asciiTheme="minorHAnsi" w:eastAsiaTheme="minorEastAsia" w:hAnsiTheme="minorHAnsi"/>
          <w:kern w:val="2"/>
          <w:sz w:val="22"/>
          <w:lang w:eastAsia="pt-BR"/>
          <w14:ligatures w14:val="standardContextual"/>
        </w:rPr>
      </w:pPr>
      <w:hyperlink w:anchor="_Toc153611347">
        <w:r>
          <w:rPr>
            <w:rStyle w:val="Vnculodendice"/>
          </w:rPr>
          <w:t>Figura 64 - Sinalização de canteiro - Obra C.</w:t>
        </w:r>
        <w:r>
          <w:rPr>
            <w:webHidden/>
          </w:rPr>
          <w:fldChar w:fldCharType="begin"/>
        </w:r>
        <w:r>
          <w:rPr>
            <w:webHidden/>
          </w:rPr>
          <w:instrText>PAGEREF _Toc153611347 \h</w:instrText>
        </w:r>
        <w:r>
          <w:rPr>
            <w:webHidden/>
          </w:rPr>
          <w:fldChar w:fldCharType="separate"/>
        </w:r>
        <w:r>
          <w:rPr>
            <w:rStyle w:val="Vnculodendice"/>
            <w:vanish w:val="false"/>
          </w:rPr>
          <w:tab/>
          <w:t>77</w:t>
        </w:r>
        <w:r>
          <w:rPr>
            <w:webHidden/>
          </w:rPr>
          <w:fldChar w:fldCharType="end"/>
        </w:r>
      </w:hyperlink>
    </w:p>
    <w:p>
      <w:pPr>
        <w:pStyle w:val="Tableoffigures"/>
        <w:tabs>
          <w:tab w:val="clear" w:pos="708"/>
          <w:tab w:val="right" w:pos="9061" w:leader="dot"/>
        </w:tabs>
        <w:rPr>
          <w:rFonts w:ascii="Calibri" w:hAnsi="Calibri" w:eastAsia="" w:asciiTheme="minorHAnsi" w:eastAsiaTheme="minorEastAsia" w:hAnsiTheme="minorHAnsi"/>
          <w:kern w:val="2"/>
          <w:sz w:val="22"/>
          <w:lang w:eastAsia="pt-BR"/>
          <w14:ligatures w14:val="standardContextual"/>
        </w:rPr>
      </w:pPr>
      <w:hyperlink w:anchor="_Toc153611348">
        <w:r>
          <w:rPr>
            <w:rStyle w:val="Vnculodendice"/>
          </w:rPr>
          <w:t>Figura 65 - Instalação de guarda-corpo - Obra C.</w:t>
        </w:r>
        <w:r>
          <w:rPr>
            <w:webHidden/>
          </w:rPr>
          <w:fldChar w:fldCharType="begin"/>
        </w:r>
        <w:r>
          <w:rPr>
            <w:webHidden/>
          </w:rPr>
          <w:instrText>PAGEREF _Toc153611348 \h</w:instrText>
        </w:r>
        <w:r>
          <w:rPr>
            <w:webHidden/>
          </w:rPr>
          <w:fldChar w:fldCharType="separate"/>
        </w:r>
        <w:r>
          <w:rPr>
            <w:rStyle w:val="Vnculodendice"/>
            <w:vanish w:val="false"/>
          </w:rPr>
          <w:tab/>
          <w:t>78</w:t>
        </w:r>
        <w:r>
          <w:rPr>
            <w:webHidden/>
          </w:rPr>
          <w:fldChar w:fldCharType="end"/>
        </w:r>
      </w:hyperlink>
    </w:p>
    <w:p>
      <w:pPr>
        <w:pStyle w:val="Tableoffigures"/>
        <w:tabs>
          <w:tab w:val="clear" w:pos="708"/>
          <w:tab w:val="right" w:pos="9061" w:leader="dot"/>
        </w:tabs>
        <w:rPr>
          <w:rFonts w:ascii="Calibri" w:hAnsi="Calibri" w:eastAsia="" w:asciiTheme="minorHAnsi" w:eastAsiaTheme="minorEastAsia" w:hAnsiTheme="minorHAnsi"/>
          <w:kern w:val="2"/>
          <w:sz w:val="22"/>
          <w:lang w:eastAsia="pt-BR"/>
          <w14:ligatures w14:val="standardContextual"/>
        </w:rPr>
      </w:pPr>
      <w:hyperlink w:anchor="_Toc153611349">
        <w:r>
          <w:rPr>
            <w:rStyle w:val="Vnculodendice"/>
          </w:rPr>
          <w:t>Figura 66 - Ausência de guarda-corpo - Obra C.</w:t>
        </w:r>
        <w:r>
          <w:rPr>
            <w:webHidden/>
          </w:rPr>
          <w:fldChar w:fldCharType="begin"/>
        </w:r>
        <w:r>
          <w:rPr>
            <w:webHidden/>
          </w:rPr>
          <w:instrText>PAGEREF _Toc153611349 \h</w:instrText>
        </w:r>
        <w:r>
          <w:rPr>
            <w:webHidden/>
          </w:rPr>
          <w:fldChar w:fldCharType="separate"/>
        </w:r>
        <w:r>
          <w:rPr>
            <w:rStyle w:val="Vnculodendice"/>
            <w:vanish w:val="false"/>
          </w:rPr>
          <w:tab/>
          <w:t>79</w:t>
        </w:r>
        <w:r>
          <w:rPr>
            <w:webHidden/>
          </w:rPr>
          <w:fldChar w:fldCharType="end"/>
        </w:r>
      </w:hyperlink>
    </w:p>
    <w:p>
      <w:pPr>
        <w:pStyle w:val="Tableoffigures"/>
        <w:tabs>
          <w:tab w:val="clear" w:pos="708"/>
          <w:tab w:val="right" w:pos="9061" w:leader="dot"/>
        </w:tabs>
        <w:rPr>
          <w:rFonts w:ascii="Calibri" w:hAnsi="Calibri" w:eastAsia="" w:asciiTheme="minorHAnsi" w:eastAsiaTheme="minorEastAsia" w:hAnsiTheme="minorHAnsi"/>
          <w:kern w:val="2"/>
          <w:sz w:val="22"/>
          <w:lang w:eastAsia="pt-BR"/>
          <w14:ligatures w14:val="standardContextual"/>
        </w:rPr>
      </w:pPr>
      <w:hyperlink w:anchor="_Toc153611350">
        <w:r>
          <w:rPr>
            <w:rStyle w:val="Vnculodendice"/>
          </w:rPr>
          <w:t>Figura 67 - Presença de abertura de piso - Obra C.</w:t>
        </w:r>
        <w:r>
          <w:rPr>
            <w:webHidden/>
          </w:rPr>
          <w:fldChar w:fldCharType="begin"/>
        </w:r>
        <w:r>
          <w:rPr>
            <w:webHidden/>
          </w:rPr>
          <w:instrText>PAGEREF _Toc153611350 \h</w:instrText>
        </w:r>
        <w:r>
          <w:rPr>
            <w:webHidden/>
          </w:rPr>
          <w:fldChar w:fldCharType="separate"/>
        </w:r>
        <w:r>
          <w:rPr>
            <w:rStyle w:val="Vnculodendice"/>
            <w:vanish w:val="false"/>
          </w:rPr>
          <w:tab/>
          <w:t>79</w:t>
        </w:r>
        <w:r>
          <w:rPr>
            <w:webHidden/>
          </w:rPr>
          <w:fldChar w:fldCharType="end"/>
        </w:r>
      </w:hyperlink>
    </w:p>
    <w:p>
      <w:pPr>
        <w:pStyle w:val="Tableoffigures"/>
        <w:tabs>
          <w:tab w:val="clear" w:pos="708"/>
          <w:tab w:val="right" w:pos="9061" w:leader="dot"/>
        </w:tabs>
        <w:rPr>
          <w:rFonts w:ascii="Calibri" w:hAnsi="Calibri" w:eastAsia="" w:asciiTheme="minorHAnsi" w:eastAsiaTheme="minorEastAsia" w:hAnsiTheme="minorHAnsi"/>
          <w:kern w:val="2"/>
          <w:sz w:val="22"/>
          <w:lang w:eastAsia="pt-BR"/>
          <w14:ligatures w14:val="standardContextual"/>
        </w:rPr>
      </w:pPr>
      <w:hyperlink w:anchor="_Toc153611351">
        <w:r>
          <w:rPr>
            <w:rStyle w:val="Vnculodendice"/>
          </w:rPr>
          <w:t>Figura 68 - Relação dos itens avaliados - Obra C.</w:t>
        </w:r>
        <w:r>
          <w:rPr>
            <w:webHidden/>
          </w:rPr>
          <w:fldChar w:fldCharType="begin"/>
        </w:r>
        <w:r>
          <w:rPr>
            <w:webHidden/>
          </w:rPr>
          <w:instrText>PAGEREF _Toc153611351 \h</w:instrText>
        </w:r>
        <w:r>
          <w:rPr>
            <w:webHidden/>
          </w:rPr>
          <w:fldChar w:fldCharType="separate"/>
        </w:r>
        <w:r>
          <w:rPr>
            <w:rStyle w:val="Vnculodendice"/>
            <w:vanish w:val="false"/>
          </w:rPr>
          <w:tab/>
          <w:t>81</w:t>
        </w:r>
        <w:r>
          <w:rPr>
            <w:webHidden/>
          </w:rPr>
          <w:fldChar w:fldCharType="end"/>
        </w:r>
      </w:hyperlink>
    </w:p>
    <w:p>
      <w:pPr>
        <w:pStyle w:val="Tableoffigures"/>
        <w:tabs>
          <w:tab w:val="clear" w:pos="708"/>
          <w:tab w:val="right" w:pos="9061" w:leader="dot"/>
        </w:tabs>
        <w:rPr>
          <w:rFonts w:ascii="Calibri" w:hAnsi="Calibri" w:eastAsia="" w:asciiTheme="minorHAnsi" w:eastAsiaTheme="minorEastAsia" w:hAnsiTheme="minorHAnsi"/>
          <w:kern w:val="2"/>
          <w:sz w:val="22"/>
          <w:lang w:eastAsia="pt-BR"/>
          <w14:ligatures w14:val="standardContextual"/>
        </w:rPr>
      </w:pPr>
      <w:hyperlink w:anchor="_Toc153611352">
        <w:r>
          <w:rPr>
            <w:rStyle w:val="Vnculodendice"/>
          </w:rPr>
          <w:t>Figura 69 - Vista panorâmica - Obra D.</w:t>
        </w:r>
        <w:r>
          <w:rPr>
            <w:webHidden/>
          </w:rPr>
          <w:fldChar w:fldCharType="begin"/>
        </w:r>
        <w:r>
          <w:rPr>
            <w:webHidden/>
          </w:rPr>
          <w:instrText>PAGEREF _Toc153611352 \h</w:instrText>
        </w:r>
        <w:r>
          <w:rPr>
            <w:webHidden/>
          </w:rPr>
          <w:fldChar w:fldCharType="separate"/>
        </w:r>
        <w:r>
          <w:rPr>
            <w:rStyle w:val="Vnculodendice"/>
            <w:vanish w:val="false"/>
          </w:rPr>
          <w:tab/>
          <w:t>82</w:t>
        </w:r>
        <w:r>
          <w:rPr>
            <w:webHidden/>
          </w:rPr>
          <w:fldChar w:fldCharType="end"/>
        </w:r>
      </w:hyperlink>
    </w:p>
    <w:p>
      <w:pPr>
        <w:pStyle w:val="Tableoffigures"/>
        <w:tabs>
          <w:tab w:val="clear" w:pos="708"/>
          <w:tab w:val="right" w:pos="9061" w:leader="dot"/>
        </w:tabs>
        <w:rPr>
          <w:rFonts w:ascii="Calibri" w:hAnsi="Calibri" w:eastAsia="" w:asciiTheme="minorHAnsi" w:eastAsiaTheme="minorEastAsia" w:hAnsiTheme="minorHAnsi"/>
          <w:kern w:val="2"/>
          <w:sz w:val="22"/>
          <w:lang w:eastAsia="pt-BR"/>
          <w14:ligatures w14:val="standardContextual"/>
        </w:rPr>
      </w:pPr>
      <w:hyperlink w:anchor="_Toc153611353">
        <w:r>
          <w:rPr>
            <w:rStyle w:val="Vnculodendice"/>
          </w:rPr>
          <w:t>Figura 70 - Catraca de acesso para entrar na Obra D.</w:t>
        </w:r>
        <w:r>
          <w:rPr>
            <w:webHidden/>
          </w:rPr>
          <w:fldChar w:fldCharType="begin"/>
        </w:r>
        <w:r>
          <w:rPr>
            <w:webHidden/>
          </w:rPr>
          <w:instrText>PAGEREF _Toc153611353 \h</w:instrText>
        </w:r>
        <w:r>
          <w:rPr>
            <w:webHidden/>
          </w:rPr>
          <w:fldChar w:fldCharType="separate"/>
        </w:r>
        <w:r>
          <w:rPr>
            <w:rStyle w:val="Vnculodendice"/>
            <w:vanish w:val="false"/>
          </w:rPr>
          <w:tab/>
          <w:t>82</w:t>
        </w:r>
        <w:r>
          <w:rPr>
            <w:webHidden/>
          </w:rPr>
          <w:fldChar w:fldCharType="end"/>
        </w:r>
      </w:hyperlink>
    </w:p>
    <w:p>
      <w:pPr>
        <w:pStyle w:val="Tableoffigures"/>
        <w:tabs>
          <w:tab w:val="clear" w:pos="708"/>
          <w:tab w:val="right" w:pos="9061" w:leader="dot"/>
        </w:tabs>
        <w:rPr>
          <w:rFonts w:ascii="Calibri" w:hAnsi="Calibri" w:eastAsia="" w:asciiTheme="minorHAnsi" w:eastAsiaTheme="minorEastAsia" w:hAnsiTheme="minorHAnsi"/>
          <w:kern w:val="2"/>
          <w:sz w:val="22"/>
          <w:lang w:eastAsia="pt-BR"/>
          <w14:ligatures w14:val="standardContextual"/>
        </w:rPr>
      </w:pPr>
      <w:hyperlink w:anchor="_Toc153611354">
        <w:r>
          <w:rPr>
            <w:rStyle w:val="Vnculodendice"/>
          </w:rPr>
          <w:t>Figura 71 - Programa de Gerenciamento de Riscos - Obra D.</w:t>
        </w:r>
        <w:r>
          <w:rPr>
            <w:webHidden/>
          </w:rPr>
          <w:fldChar w:fldCharType="begin"/>
        </w:r>
        <w:r>
          <w:rPr>
            <w:webHidden/>
          </w:rPr>
          <w:instrText>PAGEREF _Toc153611354 \h</w:instrText>
        </w:r>
        <w:r>
          <w:rPr>
            <w:webHidden/>
          </w:rPr>
          <w:fldChar w:fldCharType="separate"/>
        </w:r>
        <w:r>
          <w:rPr>
            <w:rStyle w:val="Vnculodendice"/>
            <w:vanish w:val="false"/>
          </w:rPr>
          <w:tab/>
          <w:t>83</w:t>
        </w:r>
        <w:r>
          <w:rPr>
            <w:webHidden/>
          </w:rPr>
          <w:fldChar w:fldCharType="end"/>
        </w:r>
      </w:hyperlink>
    </w:p>
    <w:p>
      <w:pPr>
        <w:pStyle w:val="Tableoffigures"/>
        <w:tabs>
          <w:tab w:val="clear" w:pos="708"/>
          <w:tab w:val="right" w:pos="9061" w:leader="dot"/>
        </w:tabs>
        <w:rPr>
          <w:rFonts w:ascii="Calibri" w:hAnsi="Calibri" w:eastAsia="" w:asciiTheme="minorHAnsi" w:eastAsiaTheme="minorEastAsia" w:hAnsiTheme="minorHAnsi"/>
          <w:kern w:val="2"/>
          <w:sz w:val="22"/>
          <w:lang w:eastAsia="pt-BR"/>
          <w14:ligatures w14:val="standardContextual"/>
        </w:rPr>
      </w:pPr>
      <w:hyperlink w:anchor="_Toc153611355">
        <w:r>
          <w:rPr>
            <w:rStyle w:val="Vnculodendice"/>
          </w:rPr>
          <w:t>Figura 72 - Refeitório - Obra D.</w:t>
        </w:r>
        <w:r>
          <w:rPr>
            <w:webHidden/>
          </w:rPr>
          <w:fldChar w:fldCharType="begin"/>
        </w:r>
        <w:r>
          <w:rPr>
            <w:webHidden/>
          </w:rPr>
          <w:instrText>PAGEREF _Toc153611355 \h</w:instrText>
        </w:r>
        <w:r>
          <w:rPr>
            <w:webHidden/>
          </w:rPr>
          <w:fldChar w:fldCharType="separate"/>
        </w:r>
        <w:r>
          <w:rPr>
            <w:rStyle w:val="Vnculodendice"/>
            <w:vanish w:val="false"/>
          </w:rPr>
          <w:tab/>
          <w:t>84</w:t>
        </w:r>
        <w:r>
          <w:rPr>
            <w:webHidden/>
          </w:rPr>
          <w:fldChar w:fldCharType="end"/>
        </w:r>
      </w:hyperlink>
    </w:p>
    <w:p>
      <w:pPr>
        <w:pStyle w:val="Tableoffigures"/>
        <w:tabs>
          <w:tab w:val="clear" w:pos="708"/>
          <w:tab w:val="right" w:pos="9061" w:leader="dot"/>
        </w:tabs>
        <w:rPr>
          <w:rFonts w:ascii="Calibri" w:hAnsi="Calibri" w:eastAsia="" w:asciiTheme="minorHAnsi" w:eastAsiaTheme="minorEastAsia" w:hAnsiTheme="minorHAnsi"/>
          <w:kern w:val="2"/>
          <w:sz w:val="22"/>
          <w:lang w:eastAsia="pt-BR"/>
          <w14:ligatures w14:val="standardContextual"/>
        </w:rPr>
      </w:pPr>
      <w:hyperlink w:anchor="_Toc153611356">
        <w:r>
          <w:rPr>
            <w:rStyle w:val="Vnculodendice"/>
          </w:rPr>
          <w:t>Figura 73 - Vista geral - sanitários da Obra D.</w:t>
        </w:r>
        <w:r>
          <w:rPr>
            <w:webHidden/>
          </w:rPr>
          <w:fldChar w:fldCharType="begin"/>
        </w:r>
        <w:r>
          <w:rPr>
            <w:webHidden/>
          </w:rPr>
          <w:instrText>PAGEREF _Toc153611356 \h</w:instrText>
        </w:r>
        <w:r>
          <w:rPr>
            <w:webHidden/>
          </w:rPr>
          <w:fldChar w:fldCharType="separate"/>
        </w:r>
        <w:r>
          <w:rPr>
            <w:rStyle w:val="Vnculodendice"/>
            <w:vanish w:val="false"/>
          </w:rPr>
          <w:tab/>
          <w:t>85</w:t>
        </w:r>
        <w:r>
          <w:rPr>
            <w:webHidden/>
          </w:rPr>
          <w:fldChar w:fldCharType="end"/>
        </w:r>
      </w:hyperlink>
    </w:p>
    <w:p>
      <w:pPr>
        <w:pStyle w:val="Tableoffigures"/>
        <w:tabs>
          <w:tab w:val="clear" w:pos="708"/>
          <w:tab w:val="right" w:pos="9061" w:leader="dot"/>
        </w:tabs>
        <w:rPr>
          <w:rFonts w:ascii="Calibri" w:hAnsi="Calibri" w:eastAsia="" w:asciiTheme="minorHAnsi" w:eastAsiaTheme="minorEastAsia" w:hAnsiTheme="minorHAnsi"/>
          <w:kern w:val="2"/>
          <w:sz w:val="22"/>
          <w:lang w:eastAsia="pt-BR"/>
          <w14:ligatures w14:val="standardContextual"/>
        </w:rPr>
      </w:pPr>
      <w:hyperlink w:anchor="_Toc153611357">
        <w:r>
          <w:rPr>
            <w:rStyle w:val="Vnculodendice"/>
          </w:rPr>
          <w:t>Figura 74 - Bacia sanitária com assento com tampa da Obra D.</w:t>
        </w:r>
        <w:r>
          <w:rPr>
            <w:webHidden/>
          </w:rPr>
          <w:fldChar w:fldCharType="begin"/>
        </w:r>
        <w:r>
          <w:rPr>
            <w:webHidden/>
          </w:rPr>
          <w:instrText>PAGEREF _Toc153611357 \h</w:instrText>
        </w:r>
        <w:r>
          <w:rPr>
            <w:webHidden/>
          </w:rPr>
          <w:fldChar w:fldCharType="separate"/>
        </w:r>
        <w:r>
          <w:rPr>
            <w:rStyle w:val="Vnculodendice"/>
            <w:vanish w:val="false"/>
          </w:rPr>
          <w:tab/>
          <w:t>85</w:t>
        </w:r>
        <w:r>
          <w:rPr>
            <w:webHidden/>
          </w:rPr>
          <w:fldChar w:fldCharType="end"/>
        </w:r>
      </w:hyperlink>
    </w:p>
    <w:p>
      <w:pPr>
        <w:pStyle w:val="Tableoffigures"/>
        <w:tabs>
          <w:tab w:val="clear" w:pos="708"/>
          <w:tab w:val="right" w:pos="9061" w:leader="dot"/>
        </w:tabs>
        <w:rPr>
          <w:rFonts w:ascii="Calibri" w:hAnsi="Calibri" w:eastAsia="" w:asciiTheme="minorHAnsi" w:eastAsiaTheme="minorEastAsia" w:hAnsiTheme="minorHAnsi"/>
          <w:kern w:val="2"/>
          <w:sz w:val="22"/>
          <w:lang w:eastAsia="pt-BR"/>
          <w14:ligatures w14:val="standardContextual"/>
        </w:rPr>
      </w:pPr>
      <w:hyperlink w:anchor="_Toc153611358">
        <w:r>
          <w:rPr>
            <w:rStyle w:val="Vnculodendice"/>
          </w:rPr>
          <w:t>Figura 75 - Vista geral dos chuveiros - Obra D.</w:t>
        </w:r>
        <w:r>
          <w:rPr>
            <w:webHidden/>
          </w:rPr>
          <w:fldChar w:fldCharType="begin"/>
        </w:r>
        <w:r>
          <w:rPr>
            <w:webHidden/>
          </w:rPr>
          <w:instrText>PAGEREF _Toc153611358 \h</w:instrText>
        </w:r>
        <w:r>
          <w:rPr>
            <w:webHidden/>
          </w:rPr>
          <w:fldChar w:fldCharType="separate"/>
        </w:r>
        <w:r>
          <w:rPr>
            <w:rStyle w:val="Vnculodendice"/>
            <w:vanish w:val="false"/>
          </w:rPr>
          <w:tab/>
          <w:t>86</w:t>
        </w:r>
        <w:r>
          <w:rPr>
            <w:webHidden/>
          </w:rPr>
          <w:fldChar w:fldCharType="end"/>
        </w:r>
      </w:hyperlink>
    </w:p>
    <w:p>
      <w:pPr>
        <w:pStyle w:val="Tableoffigures"/>
        <w:tabs>
          <w:tab w:val="clear" w:pos="708"/>
          <w:tab w:val="right" w:pos="9061" w:leader="dot"/>
        </w:tabs>
        <w:rPr>
          <w:rFonts w:ascii="Calibri" w:hAnsi="Calibri" w:eastAsia="" w:asciiTheme="minorHAnsi" w:eastAsiaTheme="minorEastAsia" w:hAnsiTheme="minorHAnsi"/>
          <w:kern w:val="2"/>
          <w:sz w:val="22"/>
          <w:lang w:eastAsia="pt-BR"/>
          <w14:ligatures w14:val="standardContextual"/>
        </w:rPr>
      </w:pPr>
      <w:hyperlink w:anchor="_Toc153611359">
        <w:r>
          <w:rPr>
            <w:rStyle w:val="Vnculodendice"/>
          </w:rPr>
          <w:t>Figura 76 - Chuveiro elétrico - Obra D.</w:t>
        </w:r>
        <w:r>
          <w:rPr>
            <w:webHidden/>
          </w:rPr>
          <w:fldChar w:fldCharType="begin"/>
        </w:r>
        <w:r>
          <w:rPr>
            <w:webHidden/>
          </w:rPr>
          <w:instrText>PAGEREF _Toc153611359 \h</w:instrText>
        </w:r>
        <w:r>
          <w:rPr>
            <w:webHidden/>
          </w:rPr>
          <w:fldChar w:fldCharType="separate"/>
        </w:r>
        <w:r>
          <w:rPr>
            <w:rStyle w:val="Vnculodendice"/>
            <w:vanish w:val="false"/>
          </w:rPr>
          <w:tab/>
          <w:t>86</w:t>
        </w:r>
        <w:r>
          <w:rPr>
            <w:webHidden/>
          </w:rPr>
          <w:fldChar w:fldCharType="end"/>
        </w:r>
      </w:hyperlink>
    </w:p>
    <w:p>
      <w:pPr>
        <w:pStyle w:val="Tableoffigures"/>
        <w:tabs>
          <w:tab w:val="clear" w:pos="708"/>
          <w:tab w:val="right" w:pos="9061" w:leader="dot"/>
        </w:tabs>
        <w:rPr>
          <w:rFonts w:ascii="Calibri" w:hAnsi="Calibri" w:eastAsia="" w:asciiTheme="minorHAnsi" w:eastAsiaTheme="minorEastAsia" w:hAnsiTheme="minorHAnsi"/>
          <w:kern w:val="2"/>
          <w:sz w:val="22"/>
          <w:lang w:eastAsia="pt-BR"/>
          <w14:ligatures w14:val="standardContextual"/>
        </w:rPr>
      </w:pPr>
      <w:hyperlink w:anchor="_Toc153611360">
        <w:r>
          <w:rPr>
            <w:rStyle w:val="Vnculodendice"/>
          </w:rPr>
          <w:t>Figura 77 - Vestiário - Obra D.</w:t>
        </w:r>
        <w:r>
          <w:rPr>
            <w:webHidden/>
          </w:rPr>
          <w:fldChar w:fldCharType="begin"/>
        </w:r>
        <w:r>
          <w:rPr>
            <w:webHidden/>
          </w:rPr>
          <w:instrText>PAGEREF _Toc153611360 \h</w:instrText>
        </w:r>
        <w:r>
          <w:rPr>
            <w:webHidden/>
          </w:rPr>
          <w:fldChar w:fldCharType="separate"/>
        </w:r>
        <w:r>
          <w:rPr>
            <w:rStyle w:val="Vnculodendice"/>
            <w:vanish w:val="false"/>
          </w:rPr>
          <w:tab/>
          <w:t>87</w:t>
        </w:r>
        <w:r>
          <w:rPr>
            <w:webHidden/>
          </w:rPr>
          <w:fldChar w:fldCharType="end"/>
        </w:r>
      </w:hyperlink>
    </w:p>
    <w:p>
      <w:pPr>
        <w:pStyle w:val="Tableoffigures"/>
        <w:tabs>
          <w:tab w:val="clear" w:pos="708"/>
          <w:tab w:val="right" w:pos="9061" w:leader="dot"/>
        </w:tabs>
        <w:rPr>
          <w:rFonts w:ascii="Calibri" w:hAnsi="Calibri" w:eastAsia="" w:asciiTheme="minorHAnsi" w:eastAsiaTheme="minorEastAsia" w:hAnsiTheme="minorHAnsi"/>
          <w:kern w:val="2"/>
          <w:sz w:val="22"/>
          <w:lang w:eastAsia="pt-BR"/>
          <w14:ligatures w14:val="standardContextual"/>
        </w:rPr>
      </w:pPr>
      <w:hyperlink w:anchor="_Toc153611361">
        <w:r>
          <w:rPr>
            <w:rStyle w:val="Vnculodendice"/>
          </w:rPr>
          <w:t>Figura 78 - Escada de acesso ao canteiro da Obra D</w:t>
        </w:r>
        <w:r>
          <w:rPr>
            <w:webHidden/>
          </w:rPr>
          <w:fldChar w:fldCharType="begin"/>
        </w:r>
        <w:r>
          <w:rPr>
            <w:webHidden/>
          </w:rPr>
          <w:instrText>PAGEREF _Toc153611361 \h</w:instrText>
        </w:r>
        <w:r>
          <w:rPr>
            <w:webHidden/>
          </w:rPr>
          <w:fldChar w:fldCharType="separate"/>
        </w:r>
        <w:r>
          <w:rPr>
            <w:rStyle w:val="Vnculodendice"/>
            <w:vanish w:val="false"/>
          </w:rPr>
          <w:tab/>
          <w:t>87</w:t>
        </w:r>
        <w:r>
          <w:rPr>
            <w:webHidden/>
          </w:rPr>
          <w:fldChar w:fldCharType="end"/>
        </w:r>
      </w:hyperlink>
    </w:p>
    <w:p>
      <w:pPr>
        <w:pStyle w:val="Tableoffigures"/>
        <w:tabs>
          <w:tab w:val="clear" w:pos="708"/>
          <w:tab w:val="right" w:pos="9061" w:leader="dot"/>
        </w:tabs>
        <w:rPr>
          <w:rFonts w:ascii="Calibri" w:hAnsi="Calibri" w:eastAsia="" w:asciiTheme="minorHAnsi" w:eastAsiaTheme="minorEastAsia" w:hAnsiTheme="minorHAnsi"/>
          <w:kern w:val="2"/>
          <w:sz w:val="22"/>
          <w:lang w:eastAsia="pt-BR"/>
          <w14:ligatures w14:val="standardContextual"/>
        </w:rPr>
      </w:pPr>
      <w:hyperlink w:anchor="_Toc153611362">
        <w:r>
          <w:rPr>
            <w:rStyle w:val="Vnculodendice"/>
          </w:rPr>
          <w:t>Figura 79 - Placas de sinalização - Obra D.</w:t>
        </w:r>
        <w:r>
          <w:rPr>
            <w:webHidden/>
          </w:rPr>
          <w:fldChar w:fldCharType="begin"/>
        </w:r>
        <w:r>
          <w:rPr>
            <w:webHidden/>
          </w:rPr>
          <w:instrText>PAGEREF _Toc153611362 \h</w:instrText>
        </w:r>
        <w:r>
          <w:rPr>
            <w:webHidden/>
          </w:rPr>
          <w:fldChar w:fldCharType="separate"/>
        </w:r>
        <w:r>
          <w:rPr>
            <w:rStyle w:val="Vnculodendice"/>
            <w:vanish w:val="false"/>
          </w:rPr>
          <w:tab/>
          <w:t>88</w:t>
        </w:r>
        <w:r>
          <w:rPr>
            <w:webHidden/>
          </w:rPr>
          <w:fldChar w:fldCharType="end"/>
        </w:r>
      </w:hyperlink>
    </w:p>
    <w:p>
      <w:pPr>
        <w:pStyle w:val="Tableoffigures"/>
        <w:tabs>
          <w:tab w:val="clear" w:pos="708"/>
          <w:tab w:val="right" w:pos="9061" w:leader="dot"/>
        </w:tabs>
        <w:rPr>
          <w:rFonts w:ascii="Calibri" w:hAnsi="Calibri" w:eastAsia="" w:asciiTheme="minorHAnsi" w:eastAsiaTheme="minorEastAsia" w:hAnsiTheme="minorHAnsi"/>
          <w:kern w:val="2"/>
          <w:sz w:val="22"/>
          <w:lang w:eastAsia="pt-BR"/>
          <w14:ligatures w14:val="standardContextual"/>
        </w:rPr>
      </w:pPr>
      <w:hyperlink w:anchor="_Toc153611363">
        <w:r>
          <w:rPr>
            <w:rStyle w:val="Vnculodendice"/>
          </w:rPr>
          <w:t>Figura 80 - Sinalização de perigo - Obra D.</w:t>
        </w:r>
        <w:r>
          <w:rPr>
            <w:webHidden/>
          </w:rPr>
          <w:fldChar w:fldCharType="begin"/>
        </w:r>
        <w:r>
          <w:rPr>
            <w:webHidden/>
          </w:rPr>
          <w:instrText>PAGEREF _Toc153611363 \h</w:instrText>
        </w:r>
        <w:r>
          <w:rPr>
            <w:webHidden/>
          </w:rPr>
          <w:fldChar w:fldCharType="separate"/>
        </w:r>
        <w:r>
          <w:rPr>
            <w:rStyle w:val="Vnculodendice"/>
            <w:vanish w:val="false"/>
          </w:rPr>
          <w:tab/>
          <w:t>88</w:t>
        </w:r>
        <w:r>
          <w:rPr>
            <w:webHidden/>
          </w:rPr>
          <w:fldChar w:fldCharType="end"/>
        </w:r>
      </w:hyperlink>
    </w:p>
    <w:p>
      <w:pPr>
        <w:pStyle w:val="Tableoffigures"/>
        <w:tabs>
          <w:tab w:val="clear" w:pos="708"/>
          <w:tab w:val="right" w:pos="9061" w:leader="dot"/>
        </w:tabs>
        <w:rPr>
          <w:rFonts w:ascii="Calibri" w:hAnsi="Calibri" w:eastAsia="" w:asciiTheme="minorHAnsi" w:eastAsiaTheme="minorEastAsia" w:hAnsiTheme="minorHAnsi"/>
          <w:kern w:val="2"/>
          <w:sz w:val="22"/>
          <w:lang w:eastAsia="pt-BR"/>
          <w14:ligatures w14:val="standardContextual"/>
        </w:rPr>
      </w:pPr>
      <w:hyperlink w:anchor="_Toc153611364">
        <w:r>
          <w:rPr>
            <w:rStyle w:val="Vnculodendice"/>
          </w:rPr>
          <w:t>Figura 81 - Instalação de guarda-corpo - Obra D.</w:t>
        </w:r>
        <w:r>
          <w:rPr>
            <w:webHidden/>
          </w:rPr>
          <w:fldChar w:fldCharType="begin"/>
        </w:r>
        <w:r>
          <w:rPr>
            <w:webHidden/>
          </w:rPr>
          <w:instrText>PAGEREF _Toc153611364 \h</w:instrText>
        </w:r>
        <w:r>
          <w:rPr>
            <w:webHidden/>
          </w:rPr>
          <w:fldChar w:fldCharType="separate"/>
        </w:r>
        <w:r>
          <w:rPr>
            <w:rStyle w:val="Vnculodendice"/>
            <w:vanish w:val="false"/>
          </w:rPr>
          <w:tab/>
          <w:t>89</w:t>
        </w:r>
        <w:r>
          <w:rPr>
            <w:webHidden/>
          </w:rPr>
          <w:fldChar w:fldCharType="end"/>
        </w:r>
      </w:hyperlink>
    </w:p>
    <w:p>
      <w:pPr>
        <w:pStyle w:val="Tableoffigures"/>
        <w:tabs>
          <w:tab w:val="clear" w:pos="708"/>
          <w:tab w:val="right" w:pos="9061" w:leader="dot"/>
        </w:tabs>
        <w:rPr>
          <w:rFonts w:ascii="Calibri" w:hAnsi="Calibri" w:eastAsia="" w:asciiTheme="minorHAnsi" w:eastAsiaTheme="minorEastAsia" w:hAnsiTheme="minorHAnsi"/>
          <w:kern w:val="2"/>
          <w:sz w:val="22"/>
          <w:lang w:eastAsia="pt-BR"/>
          <w14:ligatures w14:val="standardContextual"/>
        </w:rPr>
      </w:pPr>
      <w:hyperlink w:anchor="_Toc153611365">
        <w:r>
          <w:rPr>
            <w:rStyle w:val="Vnculodendice"/>
          </w:rPr>
          <w:t>Figura 82 - Quadro de distribuição das instalações elétricas - Obra D.</w:t>
        </w:r>
        <w:r>
          <w:rPr>
            <w:webHidden/>
          </w:rPr>
          <w:fldChar w:fldCharType="begin"/>
        </w:r>
        <w:r>
          <w:rPr>
            <w:webHidden/>
          </w:rPr>
          <w:instrText>PAGEREF _Toc153611365 \h</w:instrText>
        </w:r>
        <w:r>
          <w:rPr>
            <w:webHidden/>
          </w:rPr>
          <w:fldChar w:fldCharType="separate"/>
        </w:r>
        <w:r>
          <w:rPr>
            <w:rStyle w:val="Vnculodendice"/>
            <w:vanish w:val="false"/>
          </w:rPr>
          <w:tab/>
          <w:t>90</w:t>
        </w:r>
        <w:r>
          <w:rPr>
            <w:webHidden/>
          </w:rPr>
          <w:fldChar w:fldCharType="end"/>
        </w:r>
      </w:hyperlink>
    </w:p>
    <w:p>
      <w:pPr>
        <w:pStyle w:val="Tableoffigures"/>
        <w:tabs>
          <w:tab w:val="clear" w:pos="708"/>
          <w:tab w:val="right" w:pos="9061" w:leader="dot"/>
        </w:tabs>
        <w:rPr>
          <w:rFonts w:ascii="Calibri" w:hAnsi="Calibri" w:eastAsia="" w:asciiTheme="minorHAnsi" w:eastAsiaTheme="minorEastAsia" w:hAnsiTheme="minorHAnsi"/>
          <w:kern w:val="2"/>
          <w:sz w:val="22"/>
          <w:lang w:eastAsia="pt-BR"/>
          <w14:ligatures w14:val="standardContextual"/>
        </w:rPr>
      </w:pPr>
      <w:hyperlink w:anchor="_Toc153611366">
        <w:r>
          <w:rPr>
            <w:rStyle w:val="Vnculodendice"/>
          </w:rPr>
          <w:t>Figura 83 - Identificação dos circuitos - Obra D.</w:t>
        </w:r>
        <w:r>
          <w:rPr>
            <w:webHidden/>
          </w:rPr>
          <w:fldChar w:fldCharType="begin"/>
        </w:r>
        <w:r>
          <w:rPr>
            <w:webHidden/>
          </w:rPr>
          <w:instrText>PAGEREF _Toc153611366 \h</w:instrText>
        </w:r>
        <w:r>
          <w:rPr>
            <w:webHidden/>
          </w:rPr>
          <w:fldChar w:fldCharType="separate"/>
        </w:r>
        <w:r>
          <w:rPr>
            <w:rStyle w:val="Vnculodendice"/>
            <w:vanish w:val="false"/>
          </w:rPr>
          <w:tab/>
          <w:t>90</w:t>
        </w:r>
        <w:r>
          <w:rPr>
            <w:webHidden/>
          </w:rPr>
          <w:fldChar w:fldCharType="end"/>
        </w:r>
      </w:hyperlink>
    </w:p>
    <w:p>
      <w:pPr>
        <w:pStyle w:val="Tableoffigures"/>
        <w:tabs>
          <w:tab w:val="clear" w:pos="708"/>
          <w:tab w:val="right" w:pos="9061" w:leader="dot"/>
        </w:tabs>
        <w:rPr>
          <w:rFonts w:ascii="Calibri" w:hAnsi="Calibri" w:eastAsia="" w:asciiTheme="minorHAnsi" w:eastAsiaTheme="minorEastAsia" w:hAnsiTheme="minorHAnsi"/>
          <w:kern w:val="2"/>
          <w:sz w:val="22"/>
          <w:lang w:eastAsia="pt-BR"/>
          <w14:ligatures w14:val="standardContextual"/>
        </w:rPr>
      </w:pPr>
      <w:hyperlink w:anchor="_Toc153611367">
        <w:r>
          <w:rPr>
            <w:rStyle w:val="Vnculodendice"/>
          </w:rPr>
          <w:t>Figura 84 - Quadro sem sinalização quanto ao risco elétrico.</w:t>
        </w:r>
        <w:r>
          <w:rPr>
            <w:webHidden/>
          </w:rPr>
          <w:fldChar w:fldCharType="begin"/>
        </w:r>
        <w:r>
          <w:rPr>
            <w:webHidden/>
          </w:rPr>
          <w:instrText>PAGEREF _Toc153611367 \h</w:instrText>
        </w:r>
        <w:r>
          <w:rPr>
            <w:webHidden/>
          </w:rPr>
          <w:fldChar w:fldCharType="separate"/>
        </w:r>
        <w:r>
          <w:rPr>
            <w:rStyle w:val="Vnculodendice"/>
            <w:vanish w:val="false"/>
          </w:rPr>
          <w:tab/>
          <w:t>91</w:t>
        </w:r>
        <w:r>
          <w:rPr>
            <w:webHidden/>
          </w:rPr>
          <w:fldChar w:fldCharType="end"/>
        </w:r>
      </w:hyperlink>
    </w:p>
    <w:p>
      <w:pPr>
        <w:pStyle w:val="Tableoffigures"/>
        <w:tabs>
          <w:tab w:val="clear" w:pos="708"/>
          <w:tab w:val="right" w:pos="9061" w:leader="dot"/>
        </w:tabs>
        <w:rPr>
          <w:rFonts w:ascii="Calibri" w:hAnsi="Calibri" w:eastAsia="" w:asciiTheme="minorHAnsi" w:eastAsiaTheme="minorEastAsia" w:hAnsiTheme="minorHAnsi"/>
          <w:kern w:val="2"/>
          <w:sz w:val="22"/>
          <w:lang w:eastAsia="pt-BR"/>
          <w14:ligatures w14:val="standardContextual"/>
        </w:rPr>
      </w:pPr>
      <w:hyperlink w:anchor="_Toc153611368">
        <w:r>
          <w:rPr>
            <w:rStyle w:val="Vnculodendice"/>
          </w:rPr>
          <w:t>Figura 85 - Extensão conectada à rede elétrica no chão - Obra D.</w:t>
        </w:r>
        <w:r>
          <w:rPr>
            <w:webHidden/>
          </w:rPr>
          <w:fldChar w:fldCharType="begin"/>
        </w:r>
        <w:r>
          <w:rPr>
            <w:webHidden/>
          </w:rPr>
          <w:instrText>PAGEREF _Toc153611368 \h</w:instrText>
        </w:r>
        <w:r>
          <w:rPr>
            <w:webHidden/>
          </w:rPr>
          <w:fldChar w:fldCharType="separate"/>
        </w:r>
        <w:r>
          <w:rPr>
            <w:rStyle w:val="Vnculodendice"/>
            <w:vanish w:val="false"/>
          </w:rPr>
          <w:tab/>
          <w:t>92</w:t>
        </w:r>
        <w:r>
          <w:rPr>
            <w:webHidden/>
          </w:rPr>
          <w:fldChar w:fldCharType="end"/>
        </w:r>
      </w:hyperlink>
    </w:p>
    <w:p>
      <w:pPr>
        <w:pStyle w:val="Tableoffigures"/>
        <w:tabs>
          <w:tab w:val="clear" w:pos="708"/>
          <w:tab w:val="right" w:pos="9061" w:leader="dot"/>
        </w:tabs>
        <w:rPr>
          <w:rFonts w:ascii="Calibri" w:hAnsi="Calibri" w:eastAsia="" w:asciiTheme="minorHAnsi" w:eastAsiaTheme="minorEastAsia" w:hAnsiTheme="minorHAnsi"/>
          <w:kern w:val="2"/>
          <w:sz w:val="22"/>
          <w:lang w:eastAsia="pt-BR"/>
          <w14:ligatures w14:val="standardContextual"/>
        </w:rPr>
      </w:pPr>
      <w:hyperlink w:anchor="_Toc153611369">
        <w:r>
          <w:rPr>
            <w:rStyle w:val="Vnculodendice"/>
          </w:rPr>
          <w:t>Figura 86 - Materiais fora de lugar e em local de passagem - Obra D.</w:t>
        </w:r>
        <w:r>
          <w:rPr>
            <w:webHidden/>
          </w:rPr>
          <w:fldChar w:fldCharType="begin"/>
        </w:r>
        <w:r>
          <w:rPr>
            <w:webHidden/>
          </w:rPr>
          <w:instrText>PAGEREF _Toc153611369 \h</w:instrText>
        </w:r>
        <w:r>
          <w:rPr>
            <w:webHidden/>
          </w:rPr>
          <w:fldChar w:fldCharType="separate"/>
        </w:r>
        <w:r>
          <w:rPr>
            <w:rStyle w:val="Vnculodendice"/>
            <w:vanish w:val="false"/>
          </w:rPr>
          <w:tab/>
          <w:t>92</w:t>
        </w:r>
        <w:r>
          <w:rPr>
            <w:webHidden/>
          </w:rPr>
          <w:fldChar w:fldCharType="end"/>
        </w:r>
      </w:hyperlink>
    </w:p>
    <w:p>
      <w:pPr>
        <w:pStyle w:val="Tableoffigures"/>
        <w:tabs>
          <w:tab w:val="clear" w:pos="708"/>
          <w:tab w:val="right" w:pos="9061" w:leader="dot"/>
        </w:tabs>
        <w:rPr>
          <w:rFonts w:ascii="Calibri" w:hAnsi="Calibri" w:eastAsia="" w:asciiTheme="minorHAnsi" w:eastAsiaTheme="minorEastAsia" w:hAnsiTheme="minorHAnsi"/>
          <w:kern w:val="2"/>
          <w:sz w:val="22"/>
          <w:lang w:eastAsia="pt-BR"/>
          <w14:ligatures w14:val="standardContextual"/>
        </w:rPr>
      </w:pPr>
      <w:hyperlink w:anchor="_Toc153611370">
        <w:r>
          <w:rPr>
            <w:rStyle w:val="Vnculodendice"/>
          </w:rPr>
          <w:t>Figura 87 - Relação dos itens avaliados - Obra D.</w:t>
        </w:r>
        <w:r>
          <w:rPr>
            <w:webHidden/>
          </w:rPr>
          <w:fldChar w:fldCharType="begin"/>
        </w:r>
        <w:r>
          <w:rPr>
            <w:webHidden/>
          </w:rPr>
          <w:instrText>PAGEREF _Toc153611370 \h</w:instrText>
        </w:r>
        <w:r>
          <w:rPr>
            <w:webHidden/>
          </w:rPr>
          <w:fldChar w:fldCharType="separate"/>
        </w:r>
        <w:r>
          <w:rPr>
            <w:rStyle w:val="Vnculodendice"/>
            <w:vanish w:val="false"/>
          </w:rPr>
          <w:tab/>
          <w:t>94</w:t>
        </w:r>
        <w:r>
          <w:rPr>
            <w:webHidden/>
          </w:rPr>
          <w:fldChar w:fldCharType="end"/>
        </w:r>
      </w:hyperlink>
    </w:p>
    <w:p>
      <w:pPr>
        <w:pStyle w:val="Tableoffigures"/>
        <w:tabs>
          <w:tab w:val="clear" w:pos="708"/>
          <w:tab w:val="right" w:pos="9061" w:leader="dot"/>
        </w:tabs>
        <w:rPr>
          <w:rFonts w:ascii="Calibri" w:hAnsi="Calibri" w:eastAsia="" w:asciiTheme="minorHAnsi" w:eastAsiaTheme="minorEastAsia" w:hAnsiTheme="minorHAnsi"/>
          <w:kern w:val="2"/>
          <w:sz w:val="22"/>
          <w:lang w:eastAsia="pt-BR"/>
          <w14:ligatures w14:val="standardContextual"/>
        </w:rPr>
      </w:pPr>
      <w:hyperlink w:anchor="_Toc153611371">
        <w:r>
          <w:rPr>
            <w:rStyle w:val="Vnculodendice"/>
          </w:rPr>
          <w:t>Figura 88 - Vista panorâmica - Obra E.</w:t>
        </w:r>
        <w:r>
          <w:rPr>
            <w:webHidden/>
          </w:rPr>
          <w:fldChar w:fldCharType="begin"/>
        </w:r>
        <w:r>
          <w:rPr>
            <w:webHidden/>
          </w:rPr>
          <w:instrText>PAGEREF _Toc153611371 \h</w:instrText>
        </w:r>
        <w:r>
          <w:rPr>
            <w:webHidden/>
          </w:rPr>
          <w:fldChar w:fldCharType="separate"/>
        </w:r>
        <w:r>
          <w:rPr>
            <w:rStyle w:val="Vnculodendice"/>
            <w:vanish w:val="false"/>
          </w:rPr>
          <w:tab/>
          <w:t>95</w:t>
        </w:r>
        <w:r>
          <w:rPr>
            <w:webHidden/>
          </w:rPr>
          <w:fldChar w:fldCharType="end"/>
        </w:r>
      </w:hyperlink>
    </w:p>
    <w:p>
      <w:pPr>
        <w:pStyle w:val="Tableoffigures"/>
        <w:tabs>
          <w:tab w:val="clear" w:pos="708"/>
          <w:tab w:val="right" w:pos="9061" w:leader="dot"/>
        </w:tabs>
        <w:rPr>
          <w:rFonts w:ascii="Calibri" w:hAnsi="Calibri" w:eastAsia="" w:asciiTheme="minorHAnsi" w:eastAsiaTheme="minorEastAsia" w:hAnsiTheme="minorHAnsi"/>
          <w:kern w:val="2"/>
          <w:sz w:val="22"/>
          <w:lang w:eastAsia="pt-BR"/>
          <w14:ligatures w14:val="standardContextual"/>
        </w:rPr>
      </w:pPr>
      <w:hyperlink w:anchor="_Toc153611372">
        <w:r>
          <w:rPr>
            <w:rStyle w:val="Vnculodendice"/>
          </w:rPr>
          <w:t>Figura 89 - Programa de Gerenciamento de Riscos - Obra E.</w:t>
        </w:r>
        <w:r>
          <w:rPr>
            <w:webHidden/>
          </w:rPr>
          <w:fldChar w:fldCharType="begin"/>
        </w:r>
        <w:r>
          <w:rPr>
            <w:webHidden/>
          </w:rPr>
          <w:instrText>PAGEREF _Toc153611372 \h</w:instrText>
        </w:r>
        <w:r>
          <w:rPr>
            <w:webHidden/>
          </w:rPr>
          <w:fldChar w:fldCharType="separate"/>
        </w:r>
        <w:r>
          <w:rPr>
            <w:rStyle w:val="Vnculodendice"/>
            <w:vanish w:val="false"/>
          </w:rPr>
          <w:tab/>
          <w:t>95</w:t>
        </w:r>
        <w:r>
          <w:rPr>
            <w:webHidden/>
          </w:rPr>
          <w:fldChar w:fldCharType="end"/>
        </w:r>
      </w:hyperlink>
    </w:p>
    <w:p>
      <w:pPr>
        <w:pStyle w:val="Tableoffigures"/>
        <w:tabs>
          <w:tab w:val="clear" w:pos="708"/>
          <w:tab w:val="right" w:pos="9061" w:leader="dot"/>
        </w:tabs>
        <w:rPr>
          <w:rFonts w:ascii="Calibri" w:hAnsi="Calibri" w:eastAsia="" w:asciiTheme="minorHAnsi" w:eastAsiaTheme="minorEastAsia" w:hAnsiTheme="minorHAnsi"/>
          <w:kern w:val="2"/>
          <w:sz w:val="22"/>
          <w:lang w:eastAsia="pt-BR"/>
          <w14:ligatures w14:val="standardContextual"/>
        </w:rPr>
      </w:pPr>
      <w:hyperlink w:anchor="_Toc153611373">
        <w:r>
          <w:rPr>
            <w:rStyle w:val="Vnculodendice"/>
          </w:rPr>
          <w:t>Figura 90 - Refeitório da Obra E.</w:t>
        </w:r>
        <w:r>
          <w:rPr>
            <w:webHidden/>
          </w:rPr>
          <w:fldChar w:fldCharType="begin"/>
        </w:r>
        <w:r>
          <w:rPr>
            <w:webHidden/>
          </w:rPr>
          <w:instrText>PAGEREF _Toc153611373 \h</w:instrText>
        </w:r>
        <w:r>
          <w:rPr>
            <w:webHidden/>
          </w:rPr>
          <w:fldChar w:fldCharType="separate"/>
        </w:r>
        <w:r>
          <w:rPr>
            <w:rStyle w:val="Vnculodendice"/>
            <w:vanish w:val="false"/>
          </w:rPr>
          <w:tab/>
          <w:t>96</w:t>
        </w:r>
        <w:r>
          <w:rPr>
            <w:webHidden/>
          </w:rPr>
          <w:fldChar w:fldCharType="end"/>
        </w:r>
      </w:hyperlink>
    </w:p>
    <w:p>
      <w:pPr>
        <w:pStyle w:val="Tableoffigures"/>
        <w:tabs>
          <w:tab w:val="clear" w:pos="708"/>
          <w:tab w:val="right" w:pos="9061" w:leader="dot"/>
        </w:tabs>
        <w:rPr>
          <w:rFonts w:ascii="Calibri" w:hAnsi="Calibri" w:eastAsia="" w:asciiTheme="minorHAnsi" w:eastAsiaTheme="minorEastAsia" w:hAnsiTheme="minorHAnsi"/>
          <w:kern w:val="2"/>
          <w:sz w:val="22"/>
          <w:lang w:eastAsia="pt-BR"/>
          <w14:ligatures w14:val="standardContextual"/>
        </w:rPr>
      </w:pPr>
      <w:hyperlink w:anchor="_Toc153611374">
        <w:r>
          <w:rPr>
            <w:rStyle w:val="Vnculodendice"/>
          </w:rPr>
          <w:t>Figura 91 - Vista geral dos sanitários e locais de banho - Obra E.</w:t>
        </w:r>
        <w:r>
          <w:rPr>
            <w:webHidden/>
          </w:rPr>
          <w:fldChar w:fldCharType="begin"/>
        </w:r>
        <w:r>
          <w:rPr>
            <w:webHidden/>
          </w:rPr>
          <w:instrText>PAGEREF _Toc153611374 \h</w:instrText>
        </w:r>
        <w:r>
          <w:rPr>
            <w:webHidden/>
          </w:rPr>
          <w:fldChar w:fldCharType="separate"/>
        </w:r>
        <w:r>
          <w:rPr>
            <w:rStyle w:val="Vnculodendice"/>
            <w:vanish w:val="false"/>
          </w:rPr>
          <w:tab/>
          <w:t>97</w:t>
        </w:r>
        <w:r>
          <w:rPr>
            <w:webHidden/>
          </w:rPr>
          <w:fldChar w:fldCharType="end"/>
        </w:r>
      </w:hyperlink>
    </w:p>
    <w:p>
      <w:pPr>
        <w:pStyle w:val="Tableoffigures"/>
        <w:tabs>
          <w:tab w:val="clear" w:pos="708"/>
          <w:tab w:val="right" w:pos="9061" w:leader="dot"/>
        </w:tabs>
        <w:rPr>
          <w:rFonts w:ascii="Calibri" w:hAnsi="Calibri" w:eastAsia="" w:asciiTheme="minorHAnsi" w:eastAsiaTheme="minorEastAsia" w:hAnsiTheme="minorHAnsi"/>
          <w:kern w:val="2"/>
          <w:sz w:val="22"/>
          <w:lang w:eastAsia="pt-BR"/>
          <w14:ligatures w14:val="standardContextual"/>
        </w:rPr>
      </w:pPr>
      <w:hyperlink w:anchor="_Toc153611375">
        <w:r>
          <w:rPr>
            <w:rStyle w:val="Vnculodendice"/>
          </w:rPr>
          <w:t>Figura 92 - Bacia sanitária com tampa da Obra E.</w:t>
        </w:r>
        <w:r>
          <w:rPr>
            <w:webHidden/>
          </w:rPr>
          <w:fldChar w:fldCharType="begin"/>
        </w:r>
        <w:r>
          <w:rPr>
            <w:webHidden/>
          </w:rPr>
          <w:instrText>PAGEREF _Toc153611375 \h</w:instrText>
        </w:r>
        <w:r>
          <w:rPr>
            <w:webHidden/>
          </w:rPr>
          <w:fldChar w:fldCharType="separate"/>
        </w:r>
        <w:r>
          <w:rPr>
            <w:rStyle w:val="Vnculodendice"/>
            <w:vanish w:val="false"/>
          </w:rPr>
          <w:tab/>
          <w:t>97</w:t>
        </w:r>
        <w:r>
          <w:rPr>
            <w:webHidden/>
          </w:rPr>
          <w:fldChar w:fldCharType="end"/>
        </w:r>
      </w:hyperlink>
    </w:p>
    <w:p>
      <w:pPr>
        <w:pStyle w:val="Tableoffigures"/>
        <w:tabs>
          <w:tab w:val="clear" w:pos="708"/>
          <w:tab w:val="right" w:pos="9061" w:leader="dot"/>
        </w:tabs>
        <w:rPr>
          <w:rFonts w:ascii="Calibri" w:hAnsi="Calibri" w:eastAsia="" w:asciiTheme="minorHAnsi" w:eastAsiaTheme="minorEastAsia" w:hAnsiTheme="minorHAnsi"/>
          <w:kern w:val="2"/>
          <w:sz w:val="22"/>
          <w:lang w:eastAsia="pt-BR"/>
          <w14:ligatures w14:val="standardContextual"/>
        </w:rPr>
      </w:pPr>
      <w:hyperlink w:anchor="_Toc153611376">
        <w:r>
          <w:rPr>
            <w:rStyle w:val="Vnculodendice"/>
          </w:rPr>
          <w:t>Figura 93 - Chuveiro elétrico - Obra E.</w:t>
        </w:r>
        <w:r>
          <w:rPr>
            <w:webHidden/>
          </w:rPr>
          <w:fldChar w:fldCharType="begin"/>
        </w:r>
        <w:r>
          <w:rPr>
            <w:webHidden/>
          </w:rPr>
          <w:instrText>PAGEREF _Toc153611376 \h</w:instrText>
        </w:r>
        <w:r>
          <w:rPr>
            <w:webHidden/>
          </w:rPr>
          <w:fldChar w:fldCharType="separate"/>
        </w:r>
        <w:r>
          <w:rPr>
            <w:rStyle w:val="Vnculodendice"/>
            <w:vanish w:val="false"/>
          </w:rPr>
          <w:tab/>
          <w:t>98</w:t>
        </w:r>
        <w:r>
          <w:rPr>
            <w:webHidden/>
          </w:rPr>
          <w:fldChar w:fldCharType="end"/>
        </w:r>
      </w:hyperlink>
    </w:p>
    <w:p>
      <w:pPr>
        <w:pStyle w:val="Tableoffigures"/>
        <w:tabs>
          <w:tab w:val="clear" w:pos="708"/>
          <w:tab w:val="right" w:pos="9061" w:leader="dot"/>
        </w:tabs>
        <w:rPr>
          <w:rFonts w:ascii="Calibri" w:hAnsi="Calibri" w:eastAsia="" w:asciiTheme="minorHAnsi" w:eastAsiaTheme="minorEastAsia" w:hAnsiTheme="minorHAnsi"/>
          <w:kern w:val="2"/>
          <w:sz w:val="22"/>
          <w:lang w:eastAsia="pt-BR"/>
          <w14:ligatures w14:val="standardContextual"/>
        </w:rPr>
      </w:pPr>
      <w:hyperlink w:anchor="_Toc153611377">
        <w:r>
          <w:rPr>
            <w:rStyle w:val="Vnculodendice"/>
          </w:rPr>
          <w:t>Figura 94 - Vestiário - Obra E.</w:t>
        </w:r>
        <w:r>
          <w:rPr>
            <w:webHidden/>
          </w:rPr>
          <w:fldChar w:fldCharType="begin"/>
        </w:r>
        <w:r>
          <w:rPr>
            <w:webHidden/>
          </w:rPr>
          <w:instrText>PAGEREF _Toc153611377 \h</w:instrText>
        </w:r>
        <w:r>
          <w:rPr>
            <w:webHidden/>
          </w:rPr>
          <w:fldChar w:fldCharType="separate"/>
        </w:r>
        <w:r>
          <w:rPr>
            <w:rStyle w:val="Vnculodendice"/>
            <w:vanish w:val="false"/>
          </w:rPr>
          <w:tab/>
          <w:t>98</w:t>
        </w:r>
        <w:r>
          <w:rPr>
            <w:webHidden/>
          </w:rPr>
          <w:fldChar w:fldCharType="end"/>
        </w:r>
      </w:hyperlink>
    </w:p>
    <w:p>
      <w:pPr>
        <w:pStyle w:val="Tableoffigures"/>
        <w:tabs>
          <w:tab w:val="clear" w:pos="708"/>
          <w:tab w:val="right" w:pos="9061" w:leader="dot"/>
        </w:tabs>
        <w:rPr>
          <w:rFonts w:ascii="Calibri" w:hAnsi="Calibri" w:eastAsia="" w:asciiTheme="minorHAnsi" w:eastAsiaTheme="minorEastAsia" w:hAnsiTheme="minorHAnsi"/>
          <w:kern w:val="2"/>
          <w:sz w:val="22"/>
          <w:lang w:eastAsia="pt-BR"/>
          <w14:ligatures w14:val="standardContextual"/>
        </w:rPr>
      </w:pPr>
      <w:hyperlink w:anchor="_Toc153611378">
        <w:r>
          <w:rPr>
            <w:rStyle w:val="Vnculodendice"/>
          </w:rPr>
          <w:t>Figura 95 - Quadro de distribuição das instalações elétricas - Obra E.</w:t>
        </w:r>
        <w:r>
          <w:rPr>
            <w:webHidden/>
          </w:rPr>
          <w:fldChar w:fldCharType="begin"/>
        </w:r>
        <w:r>
          <w:rPr>
            <w:webHidden/>
          </w:rPr>
          <w:instrText>PAGEREF _Toc153611378 \h</w:instrText>
        </w:r>
        <w:r>
          <w:rPr>
            <w:webHidden/>
          </w:rPr>
          <w:fldChar w:fldCharType="separate"/>
        </w:r>
        <w:r>
          <w:rPr>
            <w:rStyle w:val="Vnculodendice"/>
            <w:vanish w:val="false"/>
          </w:rPr>
          <w:tab/>
          <w:t>99</w:t>
        </w:r>
        <w:r>
          <w:rPr>
            <w:webHidden/>
          </w:rPr>
          <w:fldChar w:fldCharType="end"/>
        </w:r>
      </w:hyperlink>
    </w:p>
    <w:p>
      <w:pPr>
        <w:pStyle w:val="Tableoffigures"/>
        <w:tabs>
          <w:tab w:val="clear" w:pos="708"/>
          <w:tab w:val="right" w:pos="9061" w:leader="dot"/>
        </w:tabs>
        <w:rPr>
          <w:rFonts w:ascii="Calibri" w:hAnsi="Calibri" w:eastAsia="" w:asciiTheme="minorHAnsi" w:eastAsiaTheme="minorEastAsia" w:hAnsiTheme="minorHAnsi"/>
          <w:kern w:val="2"/>
          <w:sz w:val="22"/>
          <w:lang w:eastAsia="pt-BR"/>
          <w14:ligatures w14:val="standardContextual"/>
        </w:rPr>
      </w:pPr>
      <w:hyperlink w:anchor="_Toc153611379">
        <w:r>
          <w:rPr>
            <w:rStyle w:val="Vnculodendice"/>
          </w:rPr>
          <w:t>Figura 96 - Escada de acesso ao canteiro - Obra E.</w:t>
        </w:r>
        <w:r>
          <w:rPr>
            <w:webHidden/>
          </w:rPr>
          <w:fldChar w:fldCharType="begin"/>
        </w:r>
        <w:r>
          <w:rPr>
            <w:webHidden/>
          </w:rPr>
          <w:instrText>PAGEREF _Toc153611379 \h</w:instrText>
        </w:r>
        <w:r>
          <w:rPr>
            <w:webHidden/>
          </w:rPr>
          <w:fldChar w:fldCharType="separate"/>
        </w:r>
        <w:r>
          <w:rPr>
            <w:rStyle w:val="Vnculodendice"/>
            <w:vanish w:val="false"/>
          </w:rPr>
          <w:tab/>
          <w:t>100</w:t>
        </w:r>
        <w:r>
          <w:rPr>
            <w:webHidden/>
          </w:rPr>
          <w:fldChar w:fldCharType="end"/>
        </w:r>
      </w:hyperlink>
    </w:p>
    <w:p>
      <w:pPr>
        <w:pStyle w:val="Tableoffigures"/>
        <w:tabs>
          <w:tab w:val="clear" w:pos="708"/>
          <w:tab w:val="right" w:pos="9061" w:leader="dot"/>
        </w:tabs>
        <w:rPr>
          <w:rFonts w:ascii="Calibri" w:hAnsi="Calibri" w:eastAsia="" w:asciiTheme="minorHAnsi" w:eastAsiaTheme="minorEastAsia" w:hAnsiTheme="minorHAnsi"/>
          <w:kern w:val="2"/>
          <w:sz w:val="22"/>
          <w:lang w:eastAsia="pt-BR"/>
          <w14:ligatures w14:val="standardContextual"/>
        </w:rPr>
      </w:pPr>
      <w:hyperlink w:anchor="_Toc153611380">
        <w:r>
          <w:rPr>
            <w:rStyle w:val="Vnculodendice"/>
          </w:rPr>
          <w:t>Figura 97 - Escada de acesso a administração - Obra E.</w:t>
        </w:r>
        <w:r>
          <w:rPr>
            <w:webHidden/>
          </w:rPr>
          <w:fldChar w:fldCharType="begin"/>
        </w:r>
        <w:r>
          <w:rPr>
            <w:webHidden/>
          </w:rPr>
          <w:instrText>PAGEREF _Toc153611380 \h</w:instrText>
        </w:r>
        <w:r>
          <w:rPr>
            <w:webHidden/>
          </w:rPr>
          <w:fldChar w:fldCharType="separate"/>
        </w:r>
        <w:r>
          <w:rPr>
            <w:rStyle w:val="Vnculodendice"/>
            <w:vanish w:val="false"/>
          </w:rPr>
          <w:tab/>
          <w:t>100</w:t>
        </w:r>
        <w:r>
          <w:rPr>
            <w:webHidden/>
          </w:rPr>
          <w:fldChar w:fldCharType="end"/>
        </w:r>
      </w:hyperlink>
    </w:p>
    <w:p>
      <w:pPr>
        <w:pStyle w:val="Tableoffigures"/>
        <w:tabs>
          <w:tab w:val="clear" w:pos="708"/>
          <w:tab w:val="right" w:pos="9061" w:leader="dot"/>
        </w:tabs>
        <w:rPr>
          <w:rFonts w:ascii="Calibri" w:hAnsi="Calibri" w:eastAsia="" w:asciiTheme="minorHAnsi" w:eastAsiaTheme="minorEastAsia" w:hAnsiTheme="minorHAnsi"/>
          <w:kern w:val="2"/>
          <w:sz w:val="22"/>
          <w:lang w:eastAsia="pt-BR"/>
          <w14:ligatures w14:val="standardContextual"/>
        </w:rPr>
      </w:pPr>
      <w:hyperlink w:anchor="_Toc153611381">
        <w:r>
          <w:rPr>
            <w:rStyle w:val="Vnculodendice"/>
          </w:rPr>
          <w:t>Figura 98 - Sinalização do canteiro - Obra E</w:t>
        </w:r>
        <w:r>
          <w:rPr>
            <w:webHidden/>
          </w:rPr>
          <w:fldChar w:fldCharType="begin"/>
        </w:r>
        <w:r>
          <w:rPr>
            <w:webHidden/>
          </w:rPr>
          <w:instrText>PAGEREF _Toc153611381 \h</w:instrText>
        </w:r>
        <w:r>
          <w:rPr>
            <w:webHidden/>
          </w:rPr>
          <w:fldChar w:fldCharType="separate"/>
        </w:r>
        <w:r>
          <w:rPr>
            <w:rStyle w:val="Vnculodendice"/>
            <w:vanish w:val="false"/>
          </w:rPr>
          <w:tab/>
          <w:t>101</w:t>
        </w:r>
        <w:r>
          <w:rPr>
            <w:webHidden/>
          </w:rPr>
          <w:fldChar w:fldCharType="end"/>
        </w:r>
      </w:hyperlink>
    </w:p>
    <w:p>
      <w:pPr>
        <w:pStyle w:val="Tableoffigures"/>
        <w:tabs>
          <w:tab w:val="clear" w:pos="708"/>
          <w:tab w:val="right" w:pos="9061" w:leader="dot"/>
        </w:tabs>
        <w:rPr>
          <w:rFonts w:ascii="Calibri" w:hAnsi="Calibri" w:eastAsia="" w:asciiTheme="minorHAnsi" w:eastAsiaTheme="minorEastAsia" w:hAnsiTheme="minorHAnsi"/>
          <w:kern w:val="2"/>
          <w:sz w:val="22"/>
          <w:lang w:eastAsia="pt-BR"/>
          <w14:ligatures w14:val="standardContextual"/>
        </w:rPr>
      </w:pPr>
      <w:hyperlink w:anchor="_Toc153611382">
        <w:r>
          <w:rPr>
            <w:rStyle w:val="Vnculodendice"/>
          </w:rPr>
          <w:t>Figura 99 - Ausência de identificação dos circuitos elétricos – Obra E.</w:t>
        </w:r>
        <w:r>
          <w:rPr>
            <w:webHidden/>
          </w:rPr>
          <w:fldChar w:fldCharType="begin"/>
        </w:r>
        <w:r>
          <w:rPr>
            <w:webHidden/>
          </w:rPr>
          <w:instrText>PAGEREF _Toc153611382 \h</w:instrText>
        </w:r>
        <w:r>
          <w:rPr>
            <w:webHidden/>
          </w:rPr>
          <w:fldChar w:fldCharType="separate"/>
        </w:r>
        <w:r>
          <w:rPr>
            <w:rStyle w:val="Vnculodendice"/>
            <w:vanish w:val="false"/>
          </w:rPr>
          <w:tab/>
          <w:t>102</w:t>
        </w:r>
        <w:r>
          <w:rPr>
            <w:webHidden/>
          </w:rPr>
          <w:fldChar w:fldCharType="end"/>
        </w:r>
      </w:hyperlink>
    </w:p>
    <w:p>
      <w:pPr>
        <w:pStyle w:val="Tableoffigures"/>
        <w:tabs>
          <w:tab w:val="clear" w:pos="708"/>
          <w:tab w:val="right" w:pos="9061" w:leader="dot"/>
        </w:tabs>
        <w:rPr>
          <w:rFonts w:ascii="Calibri" w:hAnsi="Calibri" w:eastAsia="" w:asciiTheme="minorHAnsi" w:eastAsiaTheme="minorEastAsia" w:hAnsiTheme="minorHAnsi"/>
          <w:kern w:val="2"/>
          <w:sz w:val="22"/>
          <w:lang w:eastAsia="pt-BR"/>
          <w14:ligatures w14:val="standardContextual"/>
        </w:rPr>
      </w:pPr>
      <w:hyperlink w:anchor="_Toc153611383">
        <w:r>
          <w:rPr>
            <w:rStyle w:val="Vnculodendice"/>
          </w:rPr>
          <w:t>Figura 100 - Ausência de guarda-corpo - Obra E.</w:t>
        </w:r>
        <w:r>
          <w:rPr>
            <w:webHidden/>
          </w:rPr>
          <w:fldChar w:fldCharType="begin"/>
        </w:r>
        <w:r>
          <w:rPr>
            <w:webHidden/>
          </w:rPr>
          <w:instrText>PAGEREF _Toc153611383 \h</w:instrText>
        </w:r>
        <w:r>
          <w:rPr>
            <w:webHidden/>
          </w:rPr>
          <w:fldChar w:fldCharType="separate"/>
        </w:r>
        <w:r>
          <w:rPr>
            <w:rStyle w:val="Vnculodendice"/>
            <w:vanish w:val="false"/>
          </w:rPr>
          <w:tab/>
          <w:t>102</w:t>
        </w:r>
        <w:r>
          <w:rPr>
            <w:webHidden/>
          </w:rPr>
          <w:fldChar w:fldCharType="end"/>
        </w:r>
      </w:hyperlink>
    </w:p>
    <w:p>
      <w:pPr>
        <w:pStyle w:val="Tableoffigures"/>
        <w:tabs>
          <w:tab w:val="clear" w:pos="708"/>
          <w:tab w:val="right" w:pos="9061" w:leader="dot"/>
        </w:tabs>
        <w:rPr>
          <w:rFonts w:ascii="Calibri" w:hAnsi="Calibri" w:eastAsia="" w:asciiTheme="minorHAnsi" w:eastAsiaTheme="minorEastAsia" w:hAnsiTheme="minorHAnsi"/>
          <w:kern w:val="2"/>
          <w:sz w:val="22"/>
          <w:lang w:eastAsia="pt-BR"/>
          <w14:ligatures w14:val="standardContextual"/>
        </w:rPr>
      </w:pPr>
      <w:hyperlink w:anchor="_Toc153611384">
        <w:r>
          <w:rPr>
            <w:rStyle w:val="Vnculodendice"/>
          </w:rPr>
          <w:t>Figura 101 - Materiais fora de lugar e em local de passagem - Obra E</w:t>
        </w:r>
        <w:r>
          <w:rPr>
            <w:webHidden/>
          </w:rPr>
          <w:fldChar w:fldCharType="begin"/>
        </w:r>
        <w:r>
          <w:rPr>
            <w:webHidden/>
          </w:rPr>
          <w:instrText>PAGEREF _Toc153611384 \h</w:instrText>
        </w:r>
        <w:r>
          <w:rPr>
            <w:webHidden/>
          </w:rPr>
          <w:fldChar w:fldCharType="separate"/>
        </w:r>
        <w:r>
          <w:rPr>
            <w:rStyle w:val="Vnculodendice"/>
            <w:vanish w:val="false"/>
          </w:rPr>
          <w:tab/>
          <w:t>103</w:t>
        </w:r>
        <w:r>
          <w:rPr>
            <w:webHidden/>
          </w:rPr>
          <w:fldChar w:fldCharType="end"/>
        </w:r>
      </w:hyperlink>
    </w:p>
    <w:p>
      <w:pPr>
        <w:pStyle w:val="Tableoffigures"/>
        <w:tabs>
          <w:tab w:val="clear" w:pos="708"/>
          <w:tab w:val="right" w:pos="9061" w:leader="dot"/>
        </w:tabs>
        <w:rPr>
          <w:rFonts w:ascii="Calibri" w:hAnsi="Calibri" w:eastAsia="" w:asciiTheme="minorHAnsi" w:eastAsiaTheme="minorEastAsia" w:hAnsiTheme="minorHAnsi"/>
          <w:kern w:val="2"/>
          <w:sz w:val="22"/>
          <w:lang w:eastAsia="pt-BR"/>
          <w14:ligatures w14:val="standardContextual"/>
        </w:rPr>
      </w:pPr>
      <w:hyperlink w:anchor="_Toc153611385">
        <w:r>
          <w:rPr>
            <w:rStyle w:val="Vnculodendice"/>
          </w:rPr>
          <w:t>Figura 102 - Relação dos itens avaliados - Obra E.</w:t>
        </w:r>
        <w:r>
          <w:rPr>
            <w:webHidden/>
          </w:rPr>
          <w:fldChar w:fldCharType="begin"/>
        </w:r>
        <w:r>
          <w:rPr>
            <w:webHidden/>
          </w:rPr>
          <w:instrText>PAGEREF _Toc153611385 \h</w:instrText>
        </w:r>
        <w:r>
          <w:rPr>
            <w:webHidden/>
          </w:rPr>
          <w:fldChar w:fldCharType="separate"/>
        </w:r>
        <w:r>
          <w:rPr>
            <w:rStyle w:val="Vnculodendice"/>
            <w:vanish w:val="false"/>
          </w:rPr>
          <w:tab/>
          <w:t>104</w:t>
        </w:r>
        <w:r>
          <w:rPr>
            <w:webHidden/>
          </w:rPr>
          <w:fldChar w:fldCharType="end"/>
        </w:r>
      </w:hyperlink>
    </w:p>
    <w:p>
      <w:pPr>
        <w:pStyle w:val="Tableoffigures"/>
        <w:tabs>
          <w:tab w:val="clear" w:pos="708"/>
          <w:tab w:val="right" w:pos="9061" w:leader="dot"/>
        </w:tabs>
        <w:rPr>
          <w:rFonts w:ascii="Calibri" w:hAnsi="Calibri" w:eastAsia="" w:asciiTheme="minorHAnsi" w:eastAsiaTheme="minorEastAsia" w:hAnsiTheme="minorHAnsi"/>
          <w:kern w:val="2"/>
          <w:sz w:val="22"/>
          <w:lang w:eastAsia="pt-BR"/>
          <w14:ligatures w14:val="standardContextual"/>
        </w:rPr>
      </w:pPr>
      <w:hyperlink w:anchor="_Toc153611386">
        <w:r>
          <w:rPr>
            <w:rStyle w:val="Vnculodendice"/>
          </w:rPr>
          <w:t>Figura 103 - Porcentagem de itens conformes.</w:t>
        </w:r>
        <w:r>
          <w:rPr>
            <w:webHidden/>
          </w:rPr>
          <w:fldChar w:fldCharType="begin"/>
        </w:r>
        <w:r>
          <w:rPr>
            <w:webHidden/>
          </w:rPr>
          <w:instrText>PAGEREF _Toc153611386 \h</w:instrText>
        </w:r>
        <w:r>
          <w:rPr>
            <w:webHidden/>
          </w:rPr>
          <w:fldChar w:fldCharType="separate"/>
        </w:r>
        <w:r>
          <w:rPr>
            <w:rStyle w:val="Vnculodendice"/>
            <w:vanish w:val="false"/>
          </w:rPr>
          <w:tab/>
          <w:t>106</w:t>
        </w:r>
        <w:r>
          <w:rPr>
            <w:webHidden/>
          </w:rPr>
          <w:fldChar w:fldCharType="end"/>
        </w:r>
      </w:hyperlink>
    </w:p>
    <w:p>
      <w:pPr>
        <w:pStyle w:val="Tableoffigures"/>
        <w:tabs>
          <w:tab w:val="clear" w:pos="708"/>
          <w:tab w:val="right" w:pos="9061" w:leader="dot"/>
        </w:tabs>
        <w:rPr>
          <w:rFonts w:ascii="Calibri" w:hAnsi="Calibri" w:eastAsia="" w:asciiTheme="minorHAnsi" w:eastAsiaTheme="minorEastAsia" w:hAnsiTheme="minorHAnsi"/>
          <w:kern w:val="2"/>
          <w:sz w:val="22"/>
          <w:lang w:eastAsia="pt-BR"/>
          <w14:ligatures w14:val="standardContextual"/>
        </w:rPr>
      </w:pPr>
      <w:hyperlink w:anchor="_Toc153611387">
        <w:r>
          <w:rPr>
            <w:rStyle w:val="Vnculodendice"/>
          </w:rPr>
          <w:t>Figura 104 - Porcentagem de itens conformes.</w:t>
        </w:r>
        <w:r>
          <w:rPr>
            <w:webHidden/>
          </w:rPr>
          <w:fldChar w:fldCharType="begin"/>
        </w:r>
        <w:r>
          <w:rPr>
            <w:webHidden/>
          </w:rPr>
          <w:instrText>PAGEREF _Toc153611387 \h</w:instrText>
        </w:r>
        <w:r>
          <w:rPr>
            <w:webHidden/>
          </w:rPr>
          <w:fldChar w:fldCharType="separate"/>
        </w:r>
        <w:r>
          <w:rPr>
            <w:rStyle w:val="Vnculodendice"/>
            <w:vanish w:val="false"/>
          </w:rPr>
          <w:tab/>
          <w:t>106</w:t>
        </w:r>
        <w:r>
          <w:rPr>
            <w:webHidden/>
          </w:rPr>
          <w:fldChar w:fldCharType="end"/>
        </w:r>
      </w:hyperlink>
    </w:p>
    <w:p>
      <w:pPr>
        <w:pStyle w:val="Normal"/>
        <w:jc w:val="center"/>
        <w:rPr>
          <w:rFonts w:cs="Arial"/>
          <w:b/>
          <w:b/>
          <w:bCs/>
          <w:szCs w:val="24"/>
        </w:rPr>
      </w:pPr>
      <w:r>
        <w:rPr>
          <w:rFonts w:cs="Arial"/>
          <w:b/>
          <w:bCs/>
          <w:szCs w:val="24"/>
        </w:rPr>
      </w:r>
      <w:r>
        <w:rPr>
          <w:b/>
          <w:szCs w:val="24"/>
          <w:bCs/>
          <w:rFonts w:cs="Arial"/>
        </w:rPr>
        <w:fldChar w:fldCharType="end"/>
      </w:r>
    </w:p>
    <w:p>
      <w:pPr>
        <w:pStyle w:val="Normal"/>
        <w:jc w:val="center"/>
        <w:rPr>
          <w:rFonts w:cs="Arial"/>
          <w:szCs w:val="24"/>
        </w:rPr>
      </w:pPr>
      <w:r>
        <w:rPr>
          <w:rFonts w:cs="Arial"/>
          <w:szCs w:val="24"/>
        </w:rPr>
      </w:r>
    </w:p>
    <w:p>
      <w:pPr>
        <w:pStyle w:val="Normal"/>
        <w:jc w:val="center"/>
        <w:rPr>
          <w:rFonts w:cs="Arial"/>
          <w:szCs w:val="24"/>
        </w:rPr>
      </w:pPr>
      <w:r>
        <w:rPr>
          <w:rFonts w:cs="Arial"/>
          <w:szCs w:val="24"/>
        </w:rPr>
      </w:r>
    </w:p>
    <w:p>
      <w:pPr>
        <w:pStyle w:val="Normal"/>
        <w:jc w:val="center"/>
        <w:rPr>
          <w:rFonts w:cs="Arial"/>
          <w:szCs w:val="24"/>
        </w:rPr>
      </w:pPr>
      <w:r>
        <w:rPr>
          <w:rFonts w:cs="Arial"/>
          <w:szCs w:val="24"/>
        </w:rPr>
      </w:r>
    </w:p>
    <w:p>
      <w:pPr>
        <w:pStyle w:val="Normal"/>
        <w:jc w:val="center"/>
        <w:rPr>
          <w:rFonts w:cs="Arial"/>
          <w:szCs w:val="24"/>
        </w:rPr>
      </w:pPr>
      <w:r>
        <w:rPr>
          <w:rFonts w:cs="Arial"/>
          <w:szCs w:val="24"/>
        </w:rPr>
      </w:r>
    </w:p>
    <w:p>
      <w:pPr>
        <w:pStyle w:val="Normal"/>
        <w:rPr>
          <w:rFonts w:cs="Arial"/>
          <w:szCs w:val="24"/>
        </w:rPr>
      </w:pPr>
      <w:r>
        <w:rPr>
          <w:rFonts w:cs="Arial"/>
          <w:szCs w:val="24"/>
        </w:rPr>
      </w:r>
    </w:p>
    <w:p>
      <w:pPr>
        <w:pStyle w:val="Normal"/>
        <w:rPr>
          <w:rFonts w:cs="Arial"/>
          <w:szCs w:val="24"/>
        </w:rPr>
      </w:pPr>
      <w:r>
        <w:rPr>
          <w:rFonts w:cs="Arial"/>
          <w:szCs w:val="24"/>
        </w:rPr>
      </w:r>
    </w:p>
    <w:p>
      <w:pPr>
        <w:pStyle w:val="Normal"/>
        <w:jc w:val="center"/>
        <w:rPr>
          <w:rFonts w:cs="Arial"/>
          <w:szCs w:val="24"/>
        </w:rPr>
      </w:pPr>
      <w:r>
        <w:rPr>
          <w:rFonts w:cs="Arial"/>
          <w:szCs w:val="24"/>
        </w:rPr>
      </w:r>
    </w:p>
    <w:p>
      <w:pPr>
        <w:pStyle w:val="Normal"/>
        <w:jc w:val="center"/>
        <w:rPr>
          <w:rFonts w:cs="Arial"/>
          <w:szCs w:val="24"/>
        </w:rPr>
      </w:pPr>
      <w:r>
        <w:rPr>
          <w:rFonts w:cs="Arial"/>
          <w:szCs w:val="24"/>
        </w:rPr>
      </w:r>
    </w:p>
    <w:p>
      <w:pPr>
        <w:pStyle w:val="Normal"/>
        <w:jc w:val="center"/>
        <w:rPr>
          <w:rFonts w:cs="Arial"/>
          <w:szCs w:val="24"/>
        </w:rPr>
      </w:pPr>
      <w:r>
        <w:rPr>
          <w:rFonts w:cs="Arial"/>
          <w:szCs w:val="24"/>
        </w:rPr>
      </w:r>
    </w:p>
    <w:p>
      <w:pPr>
        <w:pStyle w:val="Normal"/>
        <w:jc w:val="center"/>
        <w:rPr>
          <w:rFonts w:cs="Arial"/>
          <w:szCs w:val="24"/>
        </w:rPr>
      </w:pPr>
      <w:r>
        <w:rPr>
          <w:rFonts w:cs="Arial"/>
          <w:szCs w:val="24"/>
        </w:rPr>
      </w:r>
    </w:p>
    <w:p>
      <w:pPr>
        <w:pStyle w:val="Normal"/>
        <w:jc w:val="center"/>
        <w:rPr>
          <w:rFonts w:cs="Arial"/>
          <w:szCs w:val="24"/>
        </w:rPr>
      </w:pPr>
      <w:r>
        <w:rPr>
          <w:rFonts w:cs="Arial"/>
          <w:szCs w:val="24"/>
        </w:rPr>
      </w:r>
    </w:p>
    <w:p>
      <w:pPr>
        <w:pStyle w:val="Normal"/>
        <w:jc w:val="center"/>
        <w:rPr>
          <w:rFonts w:cs="Arial"/>
          <w:szCs w:val="24"/>
        </w:rPr>
      </w:pPr>
      <w:r>
        <w:rPr>
          <w:rFonts w:cs="Arial"/>
          <w:szCs w:val="24"/>
        </w:rPr>
      </w:r>
    </w:p>
    <w:p>
      <w:pPr>
        <w:pStyle w:val="Normal"/>
        <w:jc w:val="center"/>
        <w:rPr>
          <w:rFonts w:cs="Arial"/>
          <w:szCs w:val="24"/>
        </w:rPr>
      </w:pPr>
      <w:r>
        <w:rPr>
          <w:rFonts w:cs="Arial"/>
          <w:szCs w:val="24"/>
        </w:rPr>
      </w:r>
    </w:p>
    <w:p>
      <w:pPr>
        <w:pStyle w:val="Normal"/>
        <w:jc w:val="center"/>
        <w:rPr>
          <w:rFonts w:cs="Arial"/>
          <w:szCs w:val="24"/>
        </w:rPr>
      </w:pPr>
      <w:r>
        <w:rPr>
          <w:rFonts w:cs="Arial"/>
          <w:szCs w:val="24"/>
        </w:rPr>
      </w:r>
    </w:p>
    <w:p>
      <w:pPr>
        <w:pStyle w:val="Normal"/>
        <w:jc w:val="center"/>
        <w:rPr>
          <w:rFonts w:cs="Arial"/>
          <w:szCs w:val="24"/>
        </w:rPr>
      </w:pPr>
      <w:r>
        <w:rPr>
          <w:rFonts w:cs="Arial"/>
          <w:szCs w:val="24"/>
        </w:rPr>
      </w:r>
    </w:p>
    <w:p>
      <w:pPr>
        <w:pStyle w:val="Normal"/>
        <w:jc w:val="center"/>
        <w:rPr>
          <w:rFonts w:cs="Arial"/>
          <w:szCs w:val="24"/>
        </w:rPr>
      </w:pPr>
      <w:r>
        <w:rPr>
          <w:rFonts w:cs="Arial"/>
          <w:szCs w:val="24"/>
        </w:rPr>
      </w:r>
    </w:p>
    <w:p>
      <w:pPr>
        <w:pStyle w:val="Normal"/>
        <w:jc w:val="center"/>
        <w:rPr>
          <w:rFonts w:cs="Arial"/>
          <w:szCs w:val="24"/>
        </w:rPr>
      </w:pPr>
      <w:r>
        <w:rPr>
          <w:rFonts w:cs="Arial"/>
          <w:szCs w:val="24"/>
        </w:rPr>
      </w:r>
    </w:p>
    <w:p>
      <w:pPr>
        <w:pStyle w:val="Normal"/>
        <w:jc w:val="center"/>
        <w:rPr>
          <w:rFonts w:cs="Arial"/>
          <w:szCs w:val="24"/>
        </w:rPr>
      </w:pPr>
      <w:r>
        <w:rPr>
          <w:rFonts w:cs="Arial"/>
          <w:szCs w:val="24"/>
        </w:rPr>
      </w:r>
    </w:p>
    <w:p>
      <w:pPr>
        <w:pStyle w:val="Normal"/>
        <w:jc w:val="center"/>
        <w:rPr>
          <w:rFonts w:cs="Arial"/>
          <w:szCs w:val="24"/>
        </w:rPr>
      </w:pPr>
      <w:r>
        <w:rPr>
          <w:rFonts w:cs="Arial"/>
          <w:szCs w:val="24"/>
        </w:rPr>
      </w:r>
    </w:p>
    <w:p>
      <w:pPr>
        <w:pStyle w:val="Normal"/>
        <w:jc w:val="center"/>
        <w:rPr>
          <w:rFonts w:cs="Arial"/>
          <w:szCs w:val="24"/>
        </w:rPr>
      </w:pPr>
      <w:r>
        <w:rPr>
          <w:rFonts w:cs="Arial"/>
          <w:szCs w:val="24"/>
        </w:rPr>
      </w:r>
    </w:p>
    <w:p>
      <w:pPr>
        <w:pStyle w:val="Normal"/>
        <w:jc w:val="center"/>
        <w:rPr>
          <w:rFonts w:cs="Arial"/>
          <w:szCs w:val="24"/>
        </w:rPr>
      </w:pPr>
      <w:r>
        <w:rPr>
          <w:rFonts w:cs="Arial"/>
          <w:szCs w:val="24"/>
        </w:rPr>
      </w:r>
    </w:p>
    <w:p>
      <w:pPr>
        <w:pStyle w:val="Normal"/>
        <w:jc w:val="center"/>
        <w:rPr>
          <w:rFonts w:cs="Arial"/>
          <w:szCs w:val="24"/>
        </w:rPr>
      </w:pPr>
      <w:r>
        <w:rPr>
          <w:rFonts w:cs="Arial"/>
          <w:szCs w:val="24"/>
        </w:rPr>
      </w:r>
    </w:p>
    <w:p>
      <w:pPr>
        <w:pStyle w:val="Normal"/>
        <w:jc w:val="center"/>
        <w:rPr>
          <w:rFonts w:cs="Arial"/>
          <w:szCs w:val="24"/>
        </w:rPr>
      </w:pPr>
      <w:r>
        <w:rPr>
          <w:rFonts w:cs="Arial"/>
          <w:szCs w:val="24"/>
        </w:rPr>
      </w:r>
    </w:p>
    <w:p>
      <w:pPr>
        <w:pStyle w:val="Normal"/>
        <w:jc w:val="center"/>
        <w:rPr>
          <w:rFonts w:cs="Arial"/>
          <w:szCs w:val="24"/>
        </w:rPr>
      </w:pPr>
      <w:r>
        <w:rPr>
          <w:rFonts w:cs="Arial"/>
          <w:szCs w:val="24"/>
        </w:rPr>
      </w:r>
    </w:p>
    <w:p>
      <w:pPr>
        <w:pStyle w:val="Normal"/>
        <w:jc w:val="center"/>
        <w:rPr>
          <w:rFonts w:cs="Arial"/>
          <w:szCs w:val="24"/>
        </w:rPr>
      </w:pPr>
      <w:r>
        <w:rPr>
          <w:rFonts w:cs="Arial"/>
          <w:szCs w:val="24"/>
        </w:rPr>
      </w:r>
    </w:p>
    <w:p>
      <w:pPr>
        <w:pStyle w:val="Normal"/>
        <w:jc w:val="center"/>
        <w:rPr>
          <w:rFonts w:cs="Arial"/>
          <w:szCs w:val="24"/>
        </w:rPr>
      </w:pPr>
      <w:r>
        <w:rPr>
          <w:rFonts w:cs="Arial"/>
          <w:szCs w:val="24"/>
        </w:rPr>
      </w:r>
    </w:p>
    <w:p>
      <w:pPr>
        <w:pStyle w:val="Normal"/>
        <w:jc w:val="center"/>
        <w:rPr>
          <w:rFonts w:cs="Arial"/>
          <w:szCs w:val="24"/>
        </w:rPr>
      </w:pPr>
      <w:r>
        <w:rPr>
          <w:rFonts w:cs="Arial"/>
          <w:szCs w:val="24"/>
        </w:rPr>
      </w:r>
    </w:p>
    <w:p>
      <w:pPr>
        <w:pStyle w:val="Normal"/>
        <w:jc w:val="center"/>
        <w:rPr>
          <w:rFonts w:cs="Arial"/>
          <w:szCs w:val="24"/>
        </w:rPr>
      </w:pPr>
      <w:r>
        <w:rPr>
          <w:rFonts w:cs="Arial"/>
          <w:szCs w:val="24"/>
        </w:rPr>
      </w:r>
    </w:p>
    <w:p>
      <w:pPr>
        <w:pStyle w:val="Normal"/>
        <w:jc w:val="center"/>
        <w:rPr>
          <w:rFonts w:cs="Arial"/>
          <w:szCs w:val="24"/>
        </w:rPr>
      </w:pPr>
      <w:r>
        <w:rPr>
          <w:rFonts w:cs="Arial"/>
          <w:szCs w:val="24"/>
        </w:rPr>
      </w:r>
    </w:p>
    <w:p>
      <w:pPr>
        <w:pStyle w:val="Normal"/>
        <w:jc w:val="center"/>
        <w:rPr>
          <w:rFonts w:cs="Arial"/>
          <w:szCs w:val="24"/>
        </w:rPr>
      </w:pPr>
      <w:r>
        <w:rPr>
          <w:rFonts w:cs="Arial"/>
          <w:szCs w:val="24"/>
        </w:rPr>
      </w:r>
    </w:p>
    <w:p>
      <w:pPr>
        <w:pStyle w:val="Normal"/>
        <w:jc w:val="center"/>
        <w:rPr>
          <w:rFonts w:cs="Arial"/>
          <w:szCs w:val="24"/>
        </w:rPr>
      </w:pPr>
      <w:r>
        <w:rPr>
          <w:rFonts w:cs="Arial"/>
          <w:szCs w:val="24"/>
        </w:rPr>
      </w:r>
    </w:p>
    <w:p>
      <w:pPr>
        <w:pStyle w:val="Normal"/>
        <w:jc w:val="center"/>
        <w:rPr>
          <w:rFonts w:cs="Arial"/>
          <w:szCs w:val="24"/>
        </w:rPr>
      </w:pPr>
      <w:r>
        <w:rPr>
          <w:rFonts w:cs="Arial"/>
          <w:szCs w:val="24"/>
        </w:rPr>
      </w:r>
    </w:p>
    <w:p>
      <w:pPr>
        <w:pStyle w:val="Normal"/>
        <w:jc w:val="center"/>
        <w:rPr>
          <w:rFonts w:cs="Arial"/>
          <w:szCs w:val="24"/>
        </w:rPr>
      </w:pPr>
      <w:r>
        <w:rPr>
          <w:rFonts w:cs="Arial"/>
          <w:szCs w:val="24"/>
        </w:rPr>
      </w:r>
    </w:p>
    <w:p>
      <w:pPr>
        <w:pStyle w:val="Normal"/>
        <w:jc w:val="center"/>
        <w:rPr>
          <w:rFonts w:cs="Arial"/>
          <w:szCs w:val="24"/>
        </w:rPr>
      </w:pPr>
      <w:r>
        <w:rPr>
          <w:rFonts w:cs="Arial"/>
          <w:szCs w:val="24"/>
        </w:rPr>
      </w:r>
    </w:p>
    <w:p>
      <w:pPr>
        <w:pStyle w:val="Normal"/>
        <w:jc w:val="center"/>
        <w:rPr>
          <w:rFonts w:cs="Arial"/>
          <w:szCs w:val="24"/>
        </w:rPr>
      </w:pPr>
      <w:r>
        <w:rPr>
          <w:rFonts w:cs="Arial"/>
          <w:szCs w:val="24"/>
        </w:rPr>
      </w:r>
    </w:p>
    <w:p>
      <w:pPr>
        <w:pStyle w:val="Normal"/>
        <w:jc w:val="center"/>
        <w:rPr>
          <w:rFonts w:cs="Arial"/>
          <w:szCs w:val="24"/>
        </w:rPr>
      </w:pPr>
      <w:r>
        <w:rPr>
          <w:rFonts w:cs="Arial"/>
          <w:szCs w:val="24"/>
        </w:rPr>
      </w:r>
    </w:p>
    <w:p>
      <w:pPr>
        <w:sectPr>
          <w:headerReference w:type="default" r:id="rId6"/>
          <w:type w:val="nextPage"/>
          <w:pgSz w:w="11906" w:h="16838"/>
          <w:pgMar w:left="1701" w:right="1134" w:header="709" w:top="1701" w:footer="0" w:bottom="1134" w:gutter="0"/>
          <w:pgNumType w:fmt="decimal"/>
          <w:formProt w:val="false"/>
          <w:textDirection w:val="lrTb"/>
          <w:docGrid w:type="default" w:linePitch="360" w:charSpace="0"/>
        </w:sectPr>
        <w:pStyle w:val="Normal"/>
        <w:jc w:val="center"/>
        <w:rPr>
          <w:rFonts w:cs="Arial"/>
          <w:szCs w:val="24"/>
        </w:rPr>
      </w:pPr>
      <w:r>
        <w:rPr>
          <w:rFonts w:cs="Arial"/>
          <w:szCs w:val="24"/>
        </w:rPr>
      </w:r>
    </w:p>
    <w:p>
      <w:pPr>
        <w:pStyle w:val="Normal"/>
        <w:jc w:val="center"/>
        <w:rPr>
          <w:rFonts w:cs="Arial"/>
          <w:b/>
          <w:b/>
          <w:bCs/>
          <w:szCs w:val="24"/>
        </w:rPr>
      </w:pPr>
      <w:r>
        <w:rPr>
          <w:rFonts w:cs="Arial"/>
          <w:b/>
          <w:bCs/>
          <w:szCs w:val="24"/>
        </w:rPr>
        <w:t>LISTA DE QUADROS</w:t>
      </w:r>
    </w:p>
    <w:p>
      <w:pPr>
        <w:pStyle w:val="Normal"/>
        <w:jc w:val="center"/>
        <w:rPr>
          <w:rFonts w:cs="Arial"/>
          <w:b/>
          <w:b/>
          <w:bCs/>
          <w:szCs w:val="24"/>
        </w:rPr>
      </w:pPr>
      <w:r>
        <w:rPr/>
      </w:r>
    </w:p>
    <w:p>
      <w:pPr>
        <w:pStyle w:val="Tableoffigures"/>
        <w:tabs>
          <w:tab w:val="clear" w:pos="708"/>
          <w:tab w:val="right" w:pos="9061" w:leader="dot"/>
        </w:tabs>
        <w:rPr>
          <w:rFonts w:ascii="Calibri" w:hAnsi="Calibri" w:eastAsia="" w:asciiTheme="minorHAnsi" w:eastAsiaTheme="minorEastAsia" w:hAnsiTheme="minorHAnsi"/>
          <w:kern w:val="2"/>
          <w:sz w:val="22"/>
          <w:lang w:eastAsia="pt-BR"/>
          <w14:ligatures w14:val="standardContextual"/>
        </w:rPr>
      </w:pPr>
      <w:r>
        <w:fldChar w:fldCharType="begin"/>
      </w:r>
      <w:r>
        <w:rPr>
          <w:rStyle w:val="Vnculodendice"/>
        </w:rPr>
        <w:instrText> TOC \c "Quadro" </w:instrText>
      </w:r>
      <w:r>
        <w:rPr>
          <w:rStyle w:val="Vnculodendice"/>
        </w:rPr>
        <w:fldChar w:fldCharType="separate"/>
      </w:r>
      <w:hyperlink w:anchor="_Toc153384324">
        <w:r>
          <w:rPr>
            <w:rStyle w:val="Vnculodendice"/>
          </w:rPr>
          <w:t xml:space="preserve">Quadro 1  – </w:t>
        </w:r>
        <w:r>
          <w:rPr>
            <w:rStyle w:val="Vnculodendice"/>
            <w:i/>
          </w:rPr>
          <w:t>Checklist</w:t>
        </w:r>
        <w:r>
          <w:rPr>
            <w:rStyle w:val="Vnculodendice"/>
          </w:rPr>
          <w:t xml:space="preserve"> de análise da NR-18 em branco</w:t>
        </w:r>
        <w:r>
          <w:rPr>
            <w:webHidden/>
          </w:rPr>
          <w:fldChar w:fldCharType="begin"/>
        </w:r>
        <w:r>
          <w:rPr>
            <w:webHidden/>
          </w:rPr>
          <w:instrText>PAGEREF _Toc153384324 \h</w:instrText>
        </w:r>
        <w:r>
          <w:rPr>
            <w:webHidden/>
          </w:rPr>
          <w:fldChar w:fldCharType="separate"/>
        </w:r>
        <w:r>
          <w:rPr>
            <w:rStyle w:val="Vnculodendice"/>
            <w:vanish w:val="false"/>
          </w:rPr>
          <w:tab/>
          <w:t>36</w:t>
        </w:r>
        <w:r>
          <w:rPr>
            <w:webHidden/>
          </w:rPr>
          <w:fldChar w:fldCharType="end"/>
        </w:r>
      </w:hyperlink>
    </w:p>
    <w:p>
      <w:pPr>
        <w:pStyle w:val="Tableoffigures"/>
        <w:tabs>
          <w:tab w:val="clear" w:pos="708"/>
          <w:tab w:val="right" w:pos="9061" w:leader="dot"/>
        </w:tabs>
        <w:rPr>
          <w:rFonts w:ascii="Calibri" w:hAnsi="Calibri" w:eastAsia="" w:asciiTheme="minorHAnsi" w:eastAsiaTheme="minorEastAsia" w:hAnsiTheme="minorHAnsi"/>
          <w:kern w:val="2"/>
          <w:sz w:val="22"/>
          <w:lang w:eastAsia="pt-BR"/>
          <w14:ligatures w14:val="standardContextual"/>
        </w:rPr>
      </w:pPr>
      <w:hyperlink w:anchor="_Toc153384325">
        <w:r>
          <w:rPr>
            <w:rStyle w:val="Vnculodendice"/>
          </w:rPr>
          <w:t>Quadro 2 - Totais de itens - Obra A.</w:t>
        </w:r>
        <w:r>
          <w:rPr>
            <w:webHidden/>
          </w:rPr>
          <w:fldChar w:fldCharType="begin"/>
        </w:r>
        <w:r>
          <w:rPr>
            <w:webHidden/>
          </w:rPr>
          <w:instrText>PAGEREF _Toc153384325 \h</w:instrText>
        </w:r>
        <w:r>
          <w:rPr>
            <w:webHidden/>
          </w:rPr>
          <w:fldChar w:fldCharType="separate"/>
        </w:r>
        <w:r>
          <w:rPr>
            <w:rStyle w:val="Vnculodendice"/>
            <w:vanish w:val="false"/>
          </w:rPr>
          <w:tab/>
          <w:t>54</w:t>
        </w:r>
        <w:r>
          <w:rPr>
            <w:webHidden/>
          </w:rPr>
          <w:fldChar w:fldCharType="end"/>
        </w:r>
      </w:hyperlink>
    </w:p>
    <w:p>
      <w:pPr>
        <w:pStyle w:val="Tableoffigures"/>
        <w:tabs>
          <w:tab w:val="clear" w:pos="708"/>
          <w:tab w:val="right" w:pos="9061" w:leader="dot"/>
        </w:tabs>
        <w:rPr>
          <w:rFonts w:ascii="Calibri" w:hAnsi="Calibri" w:eastAsia="" w:asciiTheme="minorHAnsi" w:eastAsiaTheme="minorEastAsia" w:hAnsiTheme="minorHAnsi"/>
          <w:kern w:val="2"/>
          <w:sz w:val="22"/>
          <w:lang w:eastAsia="pt-BR"/>
          <w14:ligatures w14:val="standardContextual"/>
        </w:rPr>
      </w:pPr>
      <w:hyperlink w:anchor="_Toc153384326">
        <w:r>
          <w:rPr>
            <w:rStyle w:val="Vnculodendice"/>
          </w:rPr>
          <w:t>Quadro 3 - Proporcionalidade dos itens - Obra A.</w:t>
        </w:r>
        <w:r>
          <w:rPr>
            <w:webHidden/>
          </w:rPr>
          <w:fldChar w:fldCharType="begin"/>
        </w:r>
        <w:r>
          <w:rPr>
            <w:webHidden/>
          </w:rPr>
          <w:instrText>PAGEREF _Toc153384326 \h</w:instrText>
        </w:r>
        <w:r>
          <w:rPr>
            <w:webHidden/>
          </w:rPr>
          <w:fldChar w:fldCharType="separate"/>
        </w:r>
        <w:r>
          <w:rPr>
            <w:rStyle w:val="Vnculodendice"/>
            <w:vanish w:val="false"/>
          </w:rPr>
          <w:tab/>
          <w:t>54</w:t>
        </w:r>
        <w:r>
          <w:rPr>
            <w:webHidden/>
          </w:rPr>
          <w:fldChar w:fldCharType="end"/>
        </w:r>
      </w:hyperlink>
    </w:p>
    <w:p>
      <w:pPr>
        <w:pStyle w:val="Tableoffigures"/>
        <w:tabs>
          <w:tab w:val="clear" w:pos="708"/>
          <w:tab w:val="right" w:pos="9061" w:leader="dot"/>
        </w:tabs>
        <w:rPr>
          <w:rFonts w:ascii="Calibri" w:hAnsi="Calibri" w:eastAsia="" w:asciiTheme="minorHAnsi" w:eastAsiaTheme="minorEastAsia" w:hAnsiTheme="minorHAnsi"/>
          <w:kern w:val="2"/>
          <w:sz w:val="22"/>
          <w:lang w:eastAsia="pt-BR"/>
          <w14:ligatures w14:val="standardContextual"/>
        </w:rPr>
      </w:pPr>
      <w:hyperlink w:anchor="_Toc153384327">
        <w:r>
          <w:rPr>
            <w:rStyle w:val="Vnculodendice"/>
          </w:rPr>
          <w:t>Quadro 4 - Totais de itens - Obra B.</w:t>
        </w:r>
        <w:r>
          <w:rPr>
            <w:webHidden/>
          </w:rPr>
          <w:fldChar w:fldCharType="begin"/>
        </w:r>
        <w:r>
          <w:rPr>
            <w:webHidden/>
          </w:rPr>
          <w:instrText>PAGEREF _Toc153384327 \h</w:instrText>
        </w:r>
        <w:r>
          <w:rPr>
            <w:webHidden/>
          </w:rPr>
          <w:fldChar w:fldCharType="separate"/>
        </w:r>
        <w:r>
          <w:rPr>
            <w:rStyle w:val="Vnculodendice"/>
            <w:vanish w:val="false"/>
          </w:rPr>
          <w:tab/>
          <w:t>69</w:t>
        </w:r>
        <w:r>
          <w:rPr>
            <w:webHidden/>
          </w:rPr>
          <w:fldChar w:fldCharType="end"/>
        </w:r>
      </w:hyperlink>
    </w:p>
    <w:p>
      <w:pPr>
        <w:pStyle w:val="Tableoffigures"/>
        <w:tabs>
          <w:tab w:val="clear" w:pos="708"/>
          <w:tab w:val="right" w:pos="9061" w:leader="dot"/>
        </w:tabs>
        <w:rPr>
          <w:rFonts w:ascii="Calibri" w:hAnsi="Calibri" w:eastAsia="" w:asciiTheme="minorHAnsi" w:eastAsiaTheme="minorEastAsia" w:hAnsiTheme="minorHAnsi"/>
          <w:kern w:val="2"/>
          <w:sz w:val="22"/>
          <w:lang w:eastAsia="pt-BR"/>
          <w14:ligatures w14:val="standardContextual"/>
        </w:rPr>
      </w:pPr>
      <w:hyperlink w:anchor="_Toc153384328">
        <w:r>
          <w:rPr>
            <w:rStyle w:val="Vnculodendice"/>
          </w:rPr>
          <w:t>Quadro 5 - Proporcionalidade dos itens - Obra B.</w:t>
        </w:r>
        <w:r>
          <w:rPr>
            <w:webHidden/>
          </w:rPr>
          <w:fldChar w:fldCharType="begin"/>
        </w:r>
        <w:r>
          <w:rPr>
            <w:webHidden/>
          </w:rPr>
          <w:instrText>PAGEREF _Toc153384328 \h</w:instrText>
        </w:r>
        <w:r>
          <w:rPr>
            <w:webHidden/>
          </w:rPr>
          <w:fldChar w:fldCharType="separate"/>
        </w:r>
        <w:r>
          <w:rPr>
            <w:rStyle w:val="Vnculodendice"/>
            <w:vanish w:val="false"/>
          </w:rPr>
          <w:tab/>
          <w:t>69</w:t>
        </w:r>
        <w:r>
          <w:rPr>
            <w:webHidden/>
          </w:rPr>
          <w:fldChar w:fldCharType="end"/>
        </w:r>
      </w:hyperlink>
    </w:p>
    <w:p>
      <w:pPr>
        <w:pStyle w:val="Tableoffigures"/>
        <w:tabs>
          <w:tab w:val="clear" w:pos="708"/>
          <w:tab w:val="right" w:pos="9061" w:leader="dot"/>
        </w:tabs>
        <w:rPr>
          <w:rFonts w:ascii="Calibri" w:hAnsi="Calibri" w:eastAsia="" w:asciiTheme="minorHAnsi" w:eastAsiaTheme="minorEastAsia" w:hAnsiTheme="minorHAnsi"/>
          <w:kern w:val="2"/>
          <w:sz w:val="22"/>
          <w:lang w:eastAsia="pt-BR"/>
          <w14:ligatures w14:val="standardContextual"/>
        </w:rPr>
      </w:pPr>
      <w:hyperlink w:anchor="_Toc153384329">
        <w:r>
          <w:rPr>
            <w:rStyle w:val="Vnculodendice"/>
          </w:rPr>
          <w:t>Quadro 6 - Totais de itens - Obra C.</w:t>
        </w:r>
        <w:r>
          <w:rPr>
            <w:webHidden/>
          </w:rPr>
          <w:fldChar w:fldCharType="begin"/>
        </w:r>
        <w:r>
          <w:rPr>
            <w:webHidden/>
          </w:rPr>
          <w:instrText>PAGEREF _Toc153384329 \h</w:instrText>
        </w:r>
        <w:r>
          <w:rPr>
            <w:webHidden/>
          </w:rPr>
          <w:fldChar w:fldCharType="separate"/>
        </w:r>
        <w:r>
          <w:rPr>
            <w:rStyle w:val="Vnculodendice"/>
            <w:vanish w:val="false"/>
          </w:rPr>
          <w:tab/>
          <w:t>80</w:t>
        </w:r>
        <w:r>
          <w:rPr>
            <w:webHidden/>
          </w:rPr>
          <w:fldChar w:fldCharType="end"/>
        </w:r>
      </w:hyperlink>
    </w:p>
    <w:p>
      <w:pPr>
        <w:pStyle w:val="Tableoffigures"/>
        <w:tabs>
          <w:tab w:val="clear" w:pos="708"/>
          <w:tab w:val="right" w:pos="9061" w:leader="dot"/>
        </w:tabs>
        <w:rPr>
          <w:rFonts w:ascii="Calibri" w:hAnsi="Calibri" w:eastAsia="" w:asciiTheme="minorHAnsi" w:eastAsiaTheme="minorEastAsia" w:hAnsiTheme="minorHAnsi"/>
          <w:kern w:val="2"/>
          <w:sz w:val="22"/>
          <w:lang w:eastAsia="pt-BR"/>
          <w14:ligatures w14:val="standardContextual"/>
        </w:rPr>
      </w:pPr>
      <w:hyperlink w:anchor="_Toc153384330">
        <w:r>
          <w:rPr>
            <w:rStyle w:val="Vnculodendice"/>
          </w:rPr>
          <w:t>Quadro 7 - Proporcionalidade dos itens - Obra C.</w:t>
        </w:r>
        <w:r>
          <w:rPr>
            <w:webHidden/>
          </w:rPr>
          <w:fldChar w:fldCharType="begin"/>
        </w:r>
        <w:r>
          <w:rPr>
            <w:webHidden/>
          </w:rPr>
          <w:instrText>PAGEREF _Toc153384330 \h</w:instrText>
        </w:r>
        <w:r>
          <w:rPr>
            <w:webHidden/>
          </w:rPr>
          <w:fldChar w:fldCharType="separate"/>
        </w:r>
        <w:r>
          <w:rPr>
            <w:rStyle w:val="Vnculodendice"/>
            <w:vanish w:val="false"/>
          </w:rPr>
          <w:tab/>
          <w:t>80</w:t>
        </w:r>
        <w:r>
          <w:rPr>
            <w:webHidden/>
          </w:rPr>
          <w:fldChar w:fldCharType="end"/>
        </w:r>
      </w:hyperlink>
    </w:p>
    <w:p>
      <w:pPr>
        <w:pStyle w:val="Tableoffigures"/>
        <w:tabs>
          <w:tab w:val="clear" w:pos="708"/>
          <w:tab w:val="right" w:pos="9061" w:leader="dot"/>
        </w:tabs>
        <w:rPr>
          <w:rFonts w:ascii="Calibri" w:hAnsi="Calibri" w:eastAsia="" w:asciiTheme="minorHAnsi" w:eastAsiaTheme="minorEastAsia" w:hAnsiTheme="minorHAnsi"/>
          <w:kern w:val="2"/>
          <w:sz w:val="22"/>
          <w:lang w:eastAsia="pt-BR"/>
          <w14:ligatures w14:val="standardContextual"/>
        </w:rPr>
      </w:pPr>
      <w:hyperlink w:anchor="_Toc153384331">
        <w:r>
          <w:rPr>
            <w:rStyle w:val="Vnculodendice"/>
          </w:rPr>
          <w:t>Quadro 8 - Totais de itens - Obra D.</w:t>
        </w:r>
        <w:r>
          <w:rPr>
            <w:webHidden/>
          </w:rPr>
          <w:fldChar w:fldCharType="begin"/>
        </w:r>
        <w:r>
          <w:rPr>
            <w:webHidden/>
          </w:rPr>
          <w:instrText>PAGEREF _Toc153384331 \h</w:instrText>
        </w:r>
        <w:r>
          <w:rPr>
            <w:webHidden/>
          </w:rPr>
          <w:fldChar w:fldCharType="separate"/>
        </w:r>
        <w:r>
          <w:rPr>
            <w:rStyle w:val="Vnculodendice"/>
            <w:vanish w:val="false"/>
          </w:rPr>
          <w:tab/>
          <w:t>93</w:t>
        </w:r>
        <w:r>
          <w:rPr>
            <w:webHidden/>
          </w:rPr>
          <w:fldChar w:fldCharType="end"/>
        </w:r>
      </w:hyperlink>
    </w:p>
    <w:p>
      <w:pPr>
        <w:pStyle w:val="Tableoffigures"/>
        <w:tabs>
          <w:tab w:val="clear" w:pos="708"/>
          <w:tab w:val="right" w:pos="9061" w:leader="dot"/>
        </w:tabs>
        <w:rPr>
          <w:rFonts w:ascii="Calibri" w:hAnsi="Calibri" w:eastAsia="" w:asciiTheme="minorHAnsi" w:eastAsiaTheme="minorEastAsia" w:hAnsiTheme="minorHAnsi"/>
          <w:kern w:val="2"/>
          <w:sz w:val="22"/>
          <w:lang w:eastAsia="pt-BR"/>
          <w14:ligatures w14:val="standardContextual"/>
        </w:rPr>
      </w:pPr>
      <w:hyperlink w:anchor="_Toc153384332">
        <w:r>
          <w:rPr>
            <w:rStyle w:val="Vnculodendice"/>
          </w:rPr>
          <w:t>Quadro 9 - Proporcionalidade dos itens - Obra D.</w:t>
        </w:r>
        <w:r>
          <w:rPr>
            <w:webHidden/>
          </w:rPr>
          <w:fldChar w:fldCharType="begin"/>
        </w:r>
        <w:r>
          <w:rPr>
            <w:webHidden/>
          </w:rPr>
          <w:instrText>PAGEREF _Toc153384332 \h</w:instrText>
        </w:r>
        <w:r>
          <w:rPr>
            <w:webHidden/>
          </w:rPr>
          <w:fldChar w:fldCharType="separate"/>
        </w:r>
        <w:r>
          <w:rPr>
            <w:rStyle w:val="Vnculodendice"/>
            <w:vanish w:val="false"/>
          </w:rPr>
          <w:tab/>
          <w:t>93</w:t>
        </w:r>
        <w:r>
          <w:rPr>
            <w:webHidden/>
          </w:rPr>
          <w:fldChar w:fldCharType="end"/>
        </w:r>
      </w:hyperlink>
    </w:p>
    <w:p>
      <w:pPr>
        <w:pStyle w:val="Tableoffigures"/>
        <w:tabs>
          <w:tab w:val="clear" w:pos="708"/>
          <w:tab w:val="right" w:pos="9061" w:leader="dot"/>
        </w:tabs>
        <w:rPr>
          <w:rFonts w:ascii="Calibri" w:hAnsi="Calibri" w:eastAsia="" w:asciiTheme="minorHAnsi" w:eastAsiaTheme="minorEastAsia" w:hAnsiTheme="minorHAnsi"/>
          <w:kern w:val="2"/>
          <w:sz w:val="22"/>
          <w:lang w:eastAsia="pt-BR"/>
          <w14:ligatures w14:val="standardContextual"/>
        </w:rPr>
      </w:pPr>
      <w:hyperlink w:anchor="_Toc153384333">
        <w:r>
          <w:rPr>
            <w:rStyle w:val="Vnculodendice"/>
          </w:rPr>
          <w:t>Quadro 10 - Totais de itens - Obra E.</w:t>
        </w:r>
        <w:r>
          <w:rPr>
            <w:webHidden/>
          </w:rPr>
          <w:fldChar w:fldCharType="begin"/>
        </w:r>
        <w:r>
          <w:rPr>
            <w:webHidden/>
          </w:rPr>
          <w:instrText>PAGEREF _Toc153384333 \h</w:instrText>
        </w:r>
        <w:r>
          <w:rPr>
            <w:webHidden/>
          </w:rPr>
          <w:fldChar w:fldCharType="separate"/>
        </w:r>
        <w:r>
          <w:rPr>
            <w:rStyle w:val="Vnculodendice"/>
            <w:vanish w:val="false"/>
          </w:rPr>
          <w:tab/>
          <w:t>103</w:t>
        </w:r>
        <w:r>
          <w:rPr>
            <w:webHidden/>
          </w:rPr>
          <w:fldChar w:fldCharType="end"/>
        </w:r>
      </w:hyperlink>
    </w:p>
    <w:p>
      <w:pPr>
        <w:pStyle w:val="Tableoffigures"/>
        <w:tabs>
          <w:tab w:val="clear" w:pos="708"/>
          <w:tab w:val="right" w:pos="9061" w:leader="dot"/>
        </w:tabs>
        <w:rPr>
          <w:rFonts w:ascii="Calibri" w:hAnsi="Calibri" w:eastAsia="" w:asciiTheme="minorHAnsi" w:eastAsiaTheme="minorEastAsia" w:hAnsiTheme="minorHAnsi"/>
          <w:kern w:val="2"/>
          <w:sz w:val="22"/>
          <w:lang w:eastAsia="pt-BR"/>
          <w14:ligatures w14:val="standardContextual"/>
        </w:rPr>
      </w:pPr>
      <w:hyperlink w:anchor="_Toc153384334">
        <w:r>
          <w:rPr>
            <w:rStyle w:val="Vnculodendice"/>
          </w:rPr>
          <w:t>Quadro 11 - Proporcionalidade dos itens - Obra E.</w:t>
        </w:r>
        <w:r>
          <w:rPr>
            <w:webHidden/>
          </w:rPr>
          <w:fldChar w:fldCharType="begin"/>
        </w:r>
        <w:r>
          <w:rPr>
            <w:webHidden/>
          </w:rPr>
          <w:instrText>PAGEREF _Toc153384334 \h</w:instrText>
        </w:r>
        <w:r>
          <w:rPr>
            <w:webHidden/>
          </w:rPr>
          <w:fldChar w:fldCharType="separate"/>
        </w:r>
        <w:r>
          <w:rPr>
            <w:rStyle w:val="Vnculodendice"/>
            <w:vanish w:val="false"/>
          </w:rPr>
          <w:tab/>
          <w:t>104</w:t>
        </w:r>
        <w:r>
          <w:rPr>
            <w:webHidden/>
          </w:rPr>
          <w:fldChar w:fldCharType="end"/>
        </w:r>
      </w:hyperlink>
    </w:p>
    <w:p>
      <w:pPr>
        <w:pStyle w:val="Normal"/>
        <w:jc w:val="center"/>
        <w:rPr>
          <w:rFonts w:cs="Arial"/>
          <w:b/>
          <w:b/>
          <w:bCs/>
          <w:szCs w:val="24"/>
        </w:rPr>
      </w:pPr>
      <w:r>
        <w:rPr>
          <w:rFonts w:cs="Arial"/>
          <w:b/>
          <w:bCs/>
          <w:szCs w:val="24"/>
        </w:rPr>
      </w:r>
      <w:r>
        <w:rPr>
          <w:b/>
          <w:szCs w:val="24"/>
          <w:bCs/>
          <w:rFonts w:cs="Arial"/>
        </w:rPr>
        <w:fldChar w:fldCharType="end"/>
      </w:r>
    </w:p>
    <w:p>
      <w:pPr>
        <w:pStyle w:val="Normal"/>
        <w:rPr>
          <w:rFonts w:cs="Arial"/>
          <w:b/>
          <w:b/>
          <w:bCs/>
          <w:szCs w:val="24"/>
        </w:rPr>
      </w:pPr>
      <w:r>
        <w:rPr>
          <w:rFonts w:cs="Arial"/>
          <w:b/>
          <w:bCs/>
          <w:szCs w:val="24"/>
        </w:rPr>
      </w:r>
    </w:p>
    <w:p>
      <w:pPr>
        <w:pStyle w:val="Normal"/>
        <w:rPr>
          <w:rFonts w:cs="Arial"/>
          <w:b/>
          <w:b/>
          <w:bCs/>
          <w:szCs w:val="24"/>
        </w:rPr>
      </w:pPr>
      <w:r>
        <w:rPr>
          <w:rFonts w:cs="Arial"/>
          <w:b/>
          <w:bCs/>
          <w:szCs w:val="24"/>
        </w:rPr>
      </w:r>
    </w:p>
    <w:p>
      <w:pPr>
        <w:pStyle w:val="Normal"/>
        <w:jc w:val="center"/>
        <w:rPr>
          <w:rFonts w:cs="Arial"/>
          <w:b/>
          <w:b/>
          <w:bCs/>
          <w:szCs w:val="24"/>
        </w:rPr>
      </w:pPr>
      <w:r>
        <w:rPr>
          <w:rFonts w:cs="Arial"/>
          <w:b/>
          <w:bCs/>
          <w:szCs w:val="24"/>
        </w:rPr>
      </w:r>
    </w:p>
    <w:p>
      <w:pPr>
        <w:pStyle w:val="Normal"/>
        <w:jc w:val="center"/>
        <w:rPr>
          <w:rFonts w:cs="Arial"/>
          <w:b/>
          <w:b/>
          <w:bCs/>
          <w:szCs w:val="24"/>
        </w:rPr>
      </w:pPr>
      <w:r>
        <w:rPr>
          <w:rFonts w:cs="Arial"/>
          <w:b/>
          <w:bCs/>
          <w:szCs w:val="24"/>
        </w:rPr>
      </w:r>
    </w:p>
    <w:p>
      <w:pPr>
        <w:pStyle w:val="Normal"/>
        <w:jc w:val="center"/>
        <w:rPr>
          <w:rFonts w:cs="Arial"/>
          <w:b/>
          <w:b/>
          <w:bCs/>
          <w:szCs w:val="24"/>
        </w:rPr>
      </w:pPr>
      <w:r>
        <w:rPr>
          <w:rFonts w:cs="Arial"/>
          <w:b/>
          <w:bCs/>
          <w:szCs w:val="24"/>
        </w:rPr>
      </w:r>
    </w:p>
    <w:p>
      <w:pPr>
        <w:pStyle w:val="Normal"/>
        <w:jc w:val="center"/>
        <w:rPr>
          <w:rFonts w:cs="Arial"/>
          <w:b/>
          <w:b/>
          <w:bCs/>
          <w:szCs w:val="24"/>
        </w:rPr>
      </w:pPr>
      <w:r>
        <w:rPr>
          <w:rFonts w:cs="Arial"/>
          <w:b/>
          <w:bCs/>
          <w:szCs w:val="24"/>
        </w:rPr>
      </w:r>
    </w:p>
    <w:p>
      <w:pPr>
        <w:pStyle w:val="Normal"/>
        <w:jc w:val="center"/>
        <w:rPr>
          <w:rFonts w:cs="Arial"/>
          <w:b/>
          <w:b/>
          <w:bCs/>
          <w:szCs w:val="24"/>
        </w:rPr>
      </w:pPr>
      <w:r>
        <w:rPr>
          <w:rFonts w:cs="Arial"/>
          <w:b/>
          <w:bCs/>
          <w:szCs w:val="24"/>
        </w:rPr>
      </w:r>
    </w:p>
    <w:p>
      <w:pPr>
        <w:pStyle w:val="Normal"/>
        <w:jc w:val="center"/>
        <w:rPr>
          <w:rFonts w:cs="Arial"/>
          <w:b/>
          <w:b/>
          <w:bCs/>
          <w:szCs w:val="24"/>
        </w:rPr>
      </w:pPr>
      <w:r>
        <w:rPr>
          <w:rFonts w:cs="Arial"/>
          <w:b/>
          <w:bCs/>
          <w:szCs w:val="24"/>
        </w:rPr>
      </w:r>
    </w:p>
    <w:p>
      <w:pPr>
        <w:pStyle w:val="Normal"/>
        <w:jc w:val="center"/>
        <w:rPr>
          <w:rFonts w:cs="Arial"/>
          <w:b/>
          <w:b/>
          <w:bCs/>
          <w:szCs w:val="24"/>
        </w:rPr>
      </w:pPr>
      <w:r>
        <w:rPr>
          <w:rFonts w:cs="Arial"/>
          <w:b/>
          <w:bCs/>
          <w:szCs w:val="24"/>
        </w:rPr>
      </w:r>
    </w:p>
    <w:p>
      <w:pPr>
        <w:pStyle w:val="Normal"/>
        <w:jc w:val="center"/>
        <w:rPr>
          <w:rFonts w:cs="Arial"/>
          <w:b/>
          <w:b/>
          <w:bCs/>
          <w:szCs w:val="24"/>
        </w:rPr>
      </w:pPr>
      <w:r>
        <w:rPr>
          <w:rFonts w:cs="Arial"/>
          <w:b/>
          <w:bCs/>
          <w:szCs w:val="24"/>
        </w:rPr>
      </w:r>
    </w:p>
    <w:p>
      <w:pPr>
        <w:pStyle w:val="Normal"/>
        <w:jc w:val="center"/>
        <w:rPr>
          <w:rFonts w:cs="Arial"/>
          <w:b/>
          <w:b/>
          <w:bCs/>
          <w:szCs w:val="24"/>
        </w:rPr>
      </w:pPr>
      <w:r>
        <w:rPr>
          <w:rFonts w:cs="Arial"/>
          <w:b/>
          <w:bCs/>
          <w:szCs w:val="24"/>
        </w:rPr>
      </w:r>
    </w:p>
    <w:p>
      <w:pPr>
        <w:pStyle w:val="Normal"/>
        <w:jc w:val="center"/>
        <w:rPr>
          <w:rFonts w:cs="Arial"/>
          <w:b/>
          <w:b/>
          <w:bCs/>
          <w:szCs w:val="24"/>
        </w:rPr>
      </w:pPr>
      <w:r>
        <w:rPr>
          <w:rFonts w:cs="Arial"/>
          <w:b/>
          <w:bCs/>
          <w:szCs w:val="24"/>
        </w:rPr>
      </w:r>
    </w:p>
    <w:p>
      <w:pPr>
        <w:pStyle w:val="Normal"/>
        <w:jc w:val="center"/>
        <w:rPr>
          <w:rFonts w:cs="Arial"/>
          <w:b/>
          <w:b/>
          <w:bCs/>
          <w:szCs w:val="24"/>
        </w:rPr>
      </w:pPr>
      <w:r>
        <w:rPr>
          <w:rFonts w:cs="Arial"/>
          <w:b/>
          <w:bCs/>
          <w:szCs w:val="24"/>
        </w:rPr>
      </w:r>
    </w:p>
    <w:p>
      <w:pPr>
        <w:pStyle w:val="Normal"/>
        <w:jc w:val="center"/>
        <w:rPr>
          <w:rFonts w:cs="Arial"/>
          <w:b/>
          <w:b/>
          <w:bCs/>
          <w:szCs w:val="24"/>
        </w:rPr>
      </w:pPr>
      <w:r>
        <w:rPr>
          <w:rFonts w:cs="Arial"/>
          <w:b/>
          <w:bCs/>
          <w:szCs w:val="24"/>
        </w:rPr>
      </w:r>
    </w:p>
    <w:p>
      <w:pPr>
        <w:pStyle w:val="Normal"/>
        <w:jc w:val="center"/>
        <w:rPr>
          <w:rFonts w:cs="Arial"/>
          <w:b/>
          <w:b/>
          <w:bCs/>
          <w:szCs w:val="24"/>
        </w:rPr>
      </w:pPr>
      <w:r>
        <w:rPr>
          <w:rFonts w:cs="Arial"/>
          <w:b/>
          <w:bCs/>
          <w:szCs w:val="24"/>
        </w:rPr>
      </w:r>
    </w:p>
    <w:p>
      <w:pPr>
        <w:pStyle w:val="Normal"/>
        <w:jc w:val="center"/>
        <w:rPr>
          <w:rFonts w:cs="Arial"/>
          <w:b/>
          <w:b/>
          <w:bCs/>
          <w:szCs w:val="24"/>
        </w:rPr>
      </w:pPr>
      <w:r>
        <w:rPr>
          <w:rFonts w:cs="Arial"/>
          <w:b/>
          <w:bCs/>
          <w:szCs w:val="24"/>
        </w:rPr>
      </w:r>
    </w:p>
    <w:p>
      <w:pPr>
        <w:pStyle w:val="Normal"/>
        <w:jc w:val="center"/>
        <w:rPr>
          <w:rFonts w:cs="Arial"/>
          <w:b/>
          <w:b/>
          <w:bCs/>
          <w:szCs w:val="24"/>
        </w:rPr>
      </w:pPr>
      <w:r>
        <w:rPr>
          <w:rFonts w:cs="Arial"/>
          <w:b/>
          <w:bCs/>
          <w:szCs w:val="24"/>
        </w:rPr>
      </w:r>
    </w:p>
    <w:p>
      <w:pPr>
        <w:pStyle w:val="Normal"/>
        <w:jc w:val="center"/>
        <w:rPr>
          <w:rFonts w:cs="Arial"/>
          <w:b/>
          <w:b/>
          <w:bCs/>
          <w:szCs w:val="24"/>
        </w:rPr>
      </w:pPr>
      <w:r>
        <w:rPr>
          <w:rFonts w:cs="Arial"/>
          <w:b/>
          <w:bCs/>
          <w:szCs w:val="24"/>
        </w:rPr>
      </w:r>
    </w:p>
    <w:p>
      <w:pPr>
        <w:pStyle w:val="Normal"/>
        <w:jc w:val="center"/>
        <w:rPr>
          <w:rFonts w:cs="Arial"/>
          <w:b/>
          <w:b/>
          <w:bCs/>
          <w:szCs w:val="24"/>
        </w:rPr>
      </w:pPr>
      <w:r>
        <w:rPr>
          <w:rFonts w:cs="Arial"/>
          <w:b/>
          <w:bCs/>
          <w:szCs w:val="24"/>
        </w:rPr>
      </w:r>
    </w:p>
    <w:p>
      <w:pPr>
        <w:pStyle w:val="Normal"/>
        <w:jc w:val="center"/>
        <w:rPr>
          <w:rFonts w:cs="Arial"/>
          <w:b/>
          <w:b/>
          <w:bCs/>
          <w:szCs w:val="24"/>
        </w:rPr>
      </w:pPr>
      <w:r>
        <w:rPr>
          <w:rFonts w:cs="Arial"/>
          <w:b/>
          <w:bCs/>
          <w:szCs w:val="24"/>
        </w:rPr>
      </w:r>
    </w:p>
    <w:p>
      <w:pPr>
        <w:pStyle w:val="Normal"/>
        <w:jc w:val="center"/>
        <w:rPr>
          <w:rFonts w:cs="Arial"/>
          <w:b/>
          <w:b/>
          <w:bCs/>
          <w:szCs w:val="24"/>
        </w:rPr>
      </w:pPr>
      <w:r>
        <w:rPr>
          <w:rFonts w:cs="Arial"/>
          <w:b/>
          <w:bCs/>
          <w:szCs w:val="24"/>
        </w:rPr>
      </w:r>
    </w:p>
    <w:p>
      <w:pPr>
        <w:pStyle w:val="Normal"/>
        <w:jc w:val="center"/>
        <w:rPr>
          <w:rFonts w:cs="Arial"/>
          <w:b/>
          <w:b/>
          <w:bCs/>
          <w:szCs w:val="24"/>
        </w:rPr>
      </w:pPr>
      <w:r>
        <w:rPr>
          <w:rFonts w:cs="Arial"/>
          <w:b/>
          <w:bCs/>
          <w:szCs w:val="24"/>
        </w:rPr>
      </w:r>
    </w:p>
    <w:p>
      <w:pPr>
        <w:pStyle w:val="Normal"/>
        <w:jc w:val="center"/>
        <w:rPr>
          <w:rFonts w:cs="Arial"/>
          <w:b/>
          <w:b/>
          <w:bCs/>
          <w:szCs w:val="24"/>
        </w:rPr>
      </w:pPr>
      <w:r>
        <w:rPr>
          <w:rFonts w:cs="Arial"/>
          <w:b/>
          <w:bCs/>
          <w:szCs w:val="24"/>
        </w:rPr>
      </w:r>
    </w:p>
    <w:p>
      <w:pPr>
        <w:pStyle w:val="Normal"/>
        <w:jc w:val="center"/>
        <w:rPr>
          <w:rFonts w:cs="Arial"/>
          <w:b/>
          <w:b/>
          <w:bCs/>
          <w:szCs w:val="24"/>
        </w:rPr>
      </w:pPr>
      <w:r>
        <w:rPr>
          <w:rFonts w:cs="Arial"/>
          <w:b/>
          <w:bCs/>
          <w:szCs w:val="24"/>
        </w:rPr>
      </w:r>
    </w:p>
    <w:p>
      <w:pPr>
        <w:pStyle w:val="Normal"/>
        <w:jc w:val="center"/>
        <w:rPr>
          <w:rFonts w:cs="Arial"/>
          <w:b/>
          <w:b/>
          <w:bCs/>
          <w:szCs w:val="24"/>
        </w:rPr>
      </w:pPr>
      <w:r>
        <w:rPr>
          <w:rFonts w:cs="Arial"/>
          <w:b/>
          <w:bCs/>
          <w:szCs w:val="24"/>
        </w:rPr>
      </w:r>
    </w:p>
    <w:p>
      <w:pPr>
        <w:pStyle w:val="Normal"/>
        <w:jc w:val="center"/>
        <w:rPr>
          <w:rFonts w:cs="Arial"/>
          <w:b/>
          <w:b/>
          <w:bCs/>
          <w:szCs w:val="24"/>
        </w:rPr>
      </w:pPr>
      <w:r>
        <w:rPr>
          <w:rFonts w:cs="Arial"/>
          <w:b/>
          <w:bCs/>
          <w:szCs w:val="24"/>
        </w:rPr>
      </w:r>
    </w:p>
    <w:p>
      <w:pPr>
        <w:pStyle w:val="Normal"/>
        <w:jc w:val="center"/>
        <w:rPr>
          <w:rFonts w:cs="Arial"/>
          <w:b/>
          <w:b/>
          <w:bCs/>
          <w:szCs w:val="24"/>
        </w:rPr>
      </w:pPr>
      <w:r>
        <w:rPr>
          <w:rFonts w:cs="Arial"/>
          <w:b/>
          <w:bCs/>
          <w:szCs w:val="24"/>
        </w:rPr>
      </w:r>
    </w:p>
    <w:p>
      <w:pPr>
        <w:pStyle w:val="Normal"/>
        <w:jc w:val="center"/>
        <w:rPr>
          <w:rFonts w:cs="Arial"/>
          <w:b/>
          <w:b/>
          <w:bCs/>
          <w:szCs w:val="24"/>
        </w:rPr>
      </w:pPr>
      <w:r>
        <w:rPr>
          <w:rFonts w:cs="Arial"/>
          <w:b/>
          <w:bCs/>
          <w:szCs w:val="24"/>
        </w:rPr>
      </w:r>
    </w:p>
    <w:p>
      <w:pPr>
        <w:sectPr>
          <w:headerReference w:type="default" r:id="rId7"/>
          <w:type w:val="nextPage"/>
          <w:pgSz w:w="11906" w:h="16838"/>
          <w:pgMar w:left="1701" w:right="1134" w:header="709" w:top="1701" w:footer="0" w:bottom="1134" w:gutter="0"/>
          <w:pgNumType w:fmt="decimal"/>
          <w:formProt w:val="false"/>
          <w:textDirection w:val="lrTb"/>
          <w:docGrid w:type="default" w:linePitch="360" w:charSpace="0"/>
        </w:sectPr>
        <w:pStyle w:val="Normal"/>
        <w:jc w:val="center"/>
        <w:rPr>
          <w:rFonts w:cs="Arial"/>
          <w:b/>
          <w:b/>
          <w:bCs/>
          <w:szCs w:val="24"/>
        </w:rPr>
      </w:pPr>
      <w:r>
        <w:rPr>
          <w:rFonts w:cs="Arial"/>
          <w:b/>
          <w:bCs/>
          <w:szCs w:val="24"/>
        </w:rPr>
      </w:r>
    </w:p>
    <w:p>
      <w:pPr>
        <w:pStyle w:val="Normal"/>
        <w:jc w:val="center"/>
        <w:rPr>
          <w:rFonts w:cs="Arial"/>
          <w:b/>
          <w:b/>
          <w:bCs/>
          <w:szCs w:val="24"/>
        </w:rPr>
      </w:pPr>
      <w:r>
        <w:rPr>
          <w:rFonts w:cs="Arial"/>
          <w:b/>
          <w:bCs/>
          <w:szCs w:val="24"/>
        </w:rPr>
        <w:t>LISTA DE ABREVIATURAS E SIGLAS</w:t>
      </w:r>
    </w:p>
    <w:p>
      <w:pPr>
        <w:pStyle w:val="Normal"/>
        <w:jc w:val="center"/>
        <w:rPr>
          <w:rFonts w:cs="Arial"/>
          <w:szCs w:val="24"/>
        </w:rPr>
      </w:pPr>
      <w:r>
        <w:rPr>
          <w:rFonts w:cs="Arial"/>
          <w:szCs w:val="24"/>
        </w:rPr>
      </w:r>
    </w:p>
    <w:p>
      <w:pPr>
        <w:pStyle w:val="Normal"/>
        <w:spacing w:lineRule="auto" w:line="360"/>
        <w:jc w:val="center"/>
        <w:rPr>
          <w:rFonts w:cs="Arial"/>
          <w:szCs w:val="24"/>
        </w:rPr>
      </w:pPr>
      <w:r>
        <w:rPr>
          <w:rFonts w:cs="Arial"/>
          <w:szCs w:val="24"/>
        </w:rPr>
      </w:r>
    </w:p>
    <w:p>
      <w:pPr>
        <w:pStyle w:val="Normal"/>
        <w:spacing w:lineRule="auto" w:line="360"/>
        <w:rPr>
          <w:rFonts w:cs="Arial"/>
          <w:b/>
          <w:b/>
          <w:bCs/>
          <w:szCs w:val="24"/>
        </w:rPr>
      </w:pPr>
      <w:r>
        <w:rPr/>
        <w:t xml:space="preserve">ABNT </w:t>
        <w:tab/>
        <w:tab/>
        <w:t>Associação Brasileira de Normas Técnicas</w:t>
      </w:r>
    </w:p>
    <w:p>
      <w:pPr>
        <w:pStyle w:val="Normal"/>
        <w:spacing w:lineRule="auto" w:line="360"/>
        <w:rPr>
          <w:rFonts w:cs="Arial"/>
          <w:b/>
          <w:b/>
          <w:bCs/>
          <w:szCs w:val="24"/>
        </w:rPr>
      </w:pPr>
      <w:r>
        <w:rPr/>
        <w:t>CAT</w:t>
        <w:tab/>
        <w:tab/>
        <w:t xml:space="preserve">Comunicação de Acidente de Trabalho </w:t>
      </w:r>
    </w:p>
    <w:p>
      <w:pPr>
        <w:pStyle w:val="Normal"/>
        <w:spacing w:lineRule="auto" w:line="360"/>
        <w:rPr>
          <w:rFonts w:cs="Arial"/>
          <w:b/>
          <w:b/>
          <w:bCs/>
          <w:szCs w:val="24"/>
        </w:rPr>
      </w:pPr>
      <w:r>
        <w:rPr/>
        <w:t>CBIC</w:t>
        <w:tab/>
        <w:tab/>
        <w:t>Câmara Brasileira da Indústria da Construção</w:t>
      </w:r>
    </w:p>
    <w:p>
      <w:pPr>
        <w:pStyle w:val="Normal"/>
        <w:spacing w:lineRule="auto" w:line="360"/>
        <w:rPr>
          <w:rFonts w:cs="Arial"/>
          <w:b/>
          <w:b/>
          <w:bCs/>
          <w:szCs w:val="24"/>
        </w:rPr>
      </w:pPr>
      <w:r>
        <w:rPr/>
        <w:t>CBMGO</w:t>
        <w:tab/>
        <w:t>Corpo de Bombeiros Militar do Estado de Goiás</w:t>
      </w:r>
    </w:p>
    <w:p>
      <w:pPr>
        <w:pStyle w:val="Normal"/>
        <w:spacing w:lineRule="auto" w:line="360"/>
        <w:jc w:val="left"/>
        <w:rPr>
          <w:rFonts w:cs="Arial"/>
          <w:szCs w:val="24"/>
        </w:rPr>
      </w:pPr>
      <w:r>
        <w:rPr>
          <w:rFonts w:cs="Arial"/>
          <w:szCs w:val="24"/>
        </w:rPr>
        <w:t>CLT</w:t>
        <w:tab/>
        <w:tab/>
        <w:t>Consolidação das Leis do Trabalho</w:t>
      </w:r>
    </w:p>
    <w:p>
      <w:pPr>
        <w:pStyle w:val="Normal"/>
        <w:spacing w:lineRule="auto" w:line="360"/>
        <w:jc w:val="left"/>
        <w:rPr>
          <w:rFonts w:cs="Arial"/>
          <w:szCs w:val="24"/>
        </w:rPr>
      </w:pPr>
      <w:r>
        <w:rPr>
          <w:rFonts w:cs="Arial"/>
          <w:szCs w:val="24"/>
        </w:rPr>
        <w:t>EPC</w:t>
        <w:tab/>
        <w:tab/>
        <w:t>Equipamento de Proteção Coletiva</w:t>
      </w:r>
    </w:p>
    <w:p>
      <w:pPr>
        <w:pStyle w:val="Normal"/>
        <w:spacing w:lineRule="auto" w:line="360"/>
        <w:rPr>
          <w:rFonts w:cs="Arial"/>
          <w:b/>
          <w:b/>
          <w:bCs/>
          <w:szCs w:val="24"/>
        </w:rPr>
      </w:pPr>
      <w:r>
        <w:rPr/>
        <w:t>EPI</w:t>
        <w:tab/>
        <w:tab/>
        <w:t>Equipamento de Proteção Individual</w:t>
      </w:r>
    </w:p>
    <w:p>
      <w:pPr>
        <w:pStyle w:val="Normal"/>
        <w:spacing w:lineRule="auto" w:line="360"/>
        <w:rPr>
          <w:rFonts w:cs="Arial"/>
          <w:b/>
          <w:b/>
          <w:bCs/>
          <w:szCs w:val="24"/>
        </w:rPr>
      </w:pPr>
      <w:r>
        <w:rPr/>
        <w:t>INSS</w:t>
        <w:tab/>
        <w:tab/>
        <w:t xml:space="preserve">Instituto Nacional do Seguro Social </w:t>
      </w:r>
    </w:p>
    <w:p>
      <w:pPr>
        <w:pStyle w:val="Normal"/>
        <w:spacing w:lineRule="auto" w:line="360"/>
        <w:rPr>
          <w:rFonts w:cs="Arial"/>
          <w:b/>
          <w:b/>
          <w:bCs/>
          <w:szCs w:val="24"/>
        </w:rPr>
      </w:pPr>
      <w:r>
        <w:rPr/>
        <w:t>NBR</w:t>
        <w:tab/>
        <w:tab/>
        <w:t>Norma Brasileira</w:t>
      </w:r>
    </w:p>
    <w:p>
      <w:pPr>
        <w:pStyle w:val="Normal"/>
        <w:spacing w:lineRule="auto" w:line="360"/>
        <w:rPr>
          <w:rFonts w:cs="Arial"/>
          <w:b/>
          <w:b/>
          <w:bCs/>
          <w:szCs w:val="24"/>
        </w:rPr>
      </w:pPr>
      <w:r>
        <w:rPr/>
        <w:t>NR</w:t>
        <w:tab/>
        <w:tab/>
        <w:t xml:space="preserve">Norma Regulamentadora </w:t>
      </w:r>
    </w:p>
    <w:p>
      <w:pPr>
        <w:pStyle w:val="Normal"/>
        <w:spacing w:lineRule="auto" w:line="360"/>
        <w:rPr>
          <w:rFonts w:cs="Arial"/>
          <w:b/>
          <w:b/>
          <w:bCs/>
          <w:szCs w:val="24"/>
        </w:rPr>
      </w:pPr>
      <w:r>
        <w:rPr/>
        <w:t>NT</w:t>
        <w:tab/>
        <w:tab/>
        <w:t>Norma Técnica</w:t>
      </w:r>
    </w:p>
    <w:p>
      <w:pPr>
        <w:pStyle w:val="Normal"/>
        <w:spacing w:lineRule="auto" w:line="360"/>
        <w:rPr>
          <w:rFonts w:cs="Arial"/>
          <w:b/>
          <w:b/>
          <w:bCs/>
          <w:szCs w:val="24"/>
        </w:rPr>
      </w:pPr>
      <w:r>
        <w:rPr/>
        <w:t>PCMAT</w:t>
        <w:tab/>
        <w:t xml:space="preserve">Programa de Condições e Meio Ambiente de Trabalho </w:t>
      </w:r>
    </w:p>
    <w:p>
      <w:pPr>
        <w:pStyle w:val="Normal"/>
        <w:spacing w:lineRule="auto" w:line="360"/>
        <w:jc w:val="left"/>
        <w:rPr>
          <w:rFonts w:cs="Arial"/>
          <w:szCs w:val="24"/>
        </w:rPr>
      </w:pPr>
      <w:r>
        <w:rPr>
          <w:rFonts w:cs="Arial"/>
          <w:szCs w:val="24"/>
        </w:rPr>
        <w:t>PGR</w:t>
        <w:tab/>
        <w:tab/>
        <w:t xml:space="preserve">Programa de Gerenciamento de Riscos </w:t>
      </w:r>
    </w:p>
    <w:p>
      <w:pPr>
        <w:pStyle w:val="Normal"/>
        <w:spacing w:lineRule="auto" w:line="360"/>
        <w:jc w:val="left"/>
        <w:rPr>
          <w:rFonts w:cs="Arial"/>
          <w:szCs w:val="24"/>
        </w:rPr>
      </w:pPr>
      <w:r>
        <w:rPr>
          <w:rFonts w:cs="Arial"/>
          <w:szCs w:val="24"/>
        </w:rPr>
      </w:r>
    </w:p>
    <w:p>
      <w:pPr>
        <w:pStyle w:val="Normal"/>
        <w:spacing w:lineRule="auto" w:line="360"/>
        <w:jc w:val="left"/>
        <w:rPr>
          <w:rFonts w:cs="Arial"/>
          <w:szCs w:val="24"/>
        </w:rPr>
      </w:pPr>
      <w:r>
        <w:rPr>
          <w:rFonts w:cs="Arial"/>
          <w:szCs w:val="24"/>
        </w:rPr>
      </w:r>
    </w:p>
    <w:p>
      <w:pPr>
        <w:pStyle w:val="Normal"/>
        <w:spacing w:lineRule="auto" w:line="360"/>
        <w:jc w:val="left"/>
        <w:rPr>
          <w:rFonts w:cs="Arial"/>
          <w:szCs w:val="24"/>
        </w:rPr>
      </w:pPr>
      <w:r>
        <w:rPr>
          <w:rFonts w:cs="Arial"/>
          <w:szCs w:val="24"/>
        </w:rPr>
      </w:r>
    </w:p>
    <w:p>
      <w:pPr>
        <w:pStyle w:val="Normal"/>
        <w:spacing w:lineRule="auto" w:line="360"/>
        <w:jc w:val="left"/>
        <w:rPr>
          <w:rFonts w:cs="Arial"/>
          <w:szCs w:val="24"/>
        </w:rPr>
      </w:pPr>
      <w:r>
        <w:rPr>
          <w:rFonts w:cs="Arial"/>
          <w:szCs w:val="24"/>
        </w:rPr>
      </w:r>
    </w:p>
    <w:p>
      <w:pPr>
        <w:pStyle w:val="Normal"/>
        <w:spacing w:lineRule="auto" w:line="360"/>
        <w:jc w:val="left"/>
        <w:rPr>
          <w:rFonts w:cs="Arial"/>
          <w:szCs w:val="24"/>
        </w:rPr>
      </w:pPr>
      <w:r>
        <w:rPr>
          <w:rFonts w:cs="Arial"/>
          <w:szCs w:val="24"/>
        </w:rPr>
      </w:r>
    </w:p>
    <w:p>
      <w:pPr>
        <w:pStyle w:val="Normal"/>
        <w:spacing w:lineRule="auto" w:line="360"/>
        <w:jc w:val="left"/>
        <w:rPr>
          <w:rFonts w:cs="Arial"/>
          <w:szCs w:val="24"/>
        </w:rPr>
      </w:pPr>
      <w:r>
        <w:rPr>
          <w:rFonts w:cs="Arial"/>
          <w:szCs w:val="24"/>
        </w:rPr>
      </w:r>
    </w:p>
    <w:p>
      <w:pPr>
        <w:pStyle w:val="Normal"/>
        <w:spacing w:lineRule="auto" w:line="360"/>
        <w:jc w:val="left"/>
        <w:rPr>
          <w:rFonts w:cs="Arial"/>
          <w:szCs w:val="24"/>
        </w:rPr>
      </w:pPr>
      <w:r>
        <w:rPr>
          <w:rFonts w:cs="Arial"/>
          <w:szCs w:val="24"/>
        </w:rPr>
      </w:r>
    </w:p>
    <w:p>
      <w:pPr>
        <w:pStyle w:val="Normal"/>
        <w:spacing w:lineRule="auto" w:line="360"/>
        <w:jc w:val="left"/>
        <w:rPr>
          <w:rFonts w:cs="Arial"/>
          <w:szCs w:val="24"/>
        </w:rPr>
      </w:pPr>
      <w:r>
        <w:rPr>
          <w:rFonts w:cs="Arial"/>
          <w:szCs w:val="24"/>
        </w:rPr>
      </w:r>
    </w:p>
    <w:p>
      <w:pPr>
        <w:pStyle w:val="Normal"/>
        <w:spacing w:lineRule="auto" w:line="360"/>
        <w:jc w:val="left"/>
        <w:rPr>
          <w:rFonts w:cs="Arial"/>
          <w:szCs w:val="24"/>
        </w:rPr>
      </w:pPr>
      <w:r>
        <w:rPr>
          <w:rFonts w:cs="Arial"/>
          <w:szCs w:val="24"/>
        </w:rPr>
      </w:r>
    </w:p>
    <w:p>
      <w:pPr>
        <w:pStyle w:val="Normal"/>
        <w:spacing w:lineRule="auto" w:line="360"/>
        <w:jc w:val="left"/>
        <w:rPr>
          <w:rFonts w:cs="Arial"/>
          <w:szCs w:val="24"/>
        </w:rPr>
      </w:pPr>
      <w:r>
        <w:rPr>
          <w:rFonts w:cs="Arial"/>
          <w:szCs w:val="24"/>
        </w:rPr>
      </w:r>
    </w:p>
    <w:p>
      <w:pPr>
        <w:pStyle w:val="Normal"/>
        <w:spacing w:lineRule="auto" w:line="360"/>
        <w:jc w:val="left"/>
        <w:rPr>
          <w:rFonts w:cs="Arial"/>
          <w:szCs w:val="24"/>
        </w:rPr>
      </w:pPr>
      <w:r>
        <w:rPr>
          <w:rFonts w:cs="Arial"/>
          <w:szCs w:val="24"/>
        </w:rPr>
      </w:r>
    </w:p>
    <w:p>
      <w:pPr>
        <w:pStyle w:val="Normal"/>
        <w:spacing w:lineRule="auto" w:line="360"/>
        <w:jc w:val="left"/>
        <w:rPr>
          <w:rFonts w:cs="Arial"/>
          <w:szCs w:val="24"/>
        </w:rPr>
      </w:pPr>
      <w:r>
        <w:rPr>
          <w:rFonts w:cs="Arial"/>
          <w:szCs w:val="24"/>
        </w:rPr>
      </w:r>
    </w:p>
    <w:p>
      <w:pPr>
        <w:pStyle w:val="Normal"/>
        <w:spacing w:lineRule="auto" w:line="360"/>
        <w:jc w:val="left"/>
        <w:rPr>
          <w:rFonts w:cs="Arial"/>
          <w:szCs w:val="24"/>
        </w:rPr>
      </w:pPr>
      <w:r>
        <w:rPr>
          <w:rFonts w:cs="Arial"/>
          <w:szCs w:val="24"/>
        </w:rPr>
      </w:r>
    </w:p>
    <w:p>
      <w:pPr>
        <w:pStyle w:val="Normal"/>
        <w:spacing w:lineRule="auto" w:line="360"/>
        <w:jc w:val="left"/>
        <w:rPr>
          <w:rFonts w:cs="Arial"/>
          <w:szCs w:val="24"/>
        </w:rPr>
      </w:pPr>
      <w:r>
        <w:rPr>
          <w:rFonts w:cs="Arial"/>
          <w:szCs w:val="24"/>
        </w:rPr>
      </w:r>
    </w:p>
    <w:p>
      <w:pPr>
        <w:pStyle w:val="Normal"/>
        <w:spacing w:lineRule="auto" w:line="360"/>
        <w:jc w:val="left"/>
        <w:rPr>
          <w:rFonts w:cs="Arial"/>
          <w:szCs w:val="24"/>
        </w:rPr>
      </w:pPr>
      <w:r>
        <w:rPr>
          <w:rFonts w:cs="Arial"/>
          <w:szCs w:val="24"/>
        </w:rPr>
      </w:r>
    </w:p>
    <w:p>
      <w:pPr>
        <w:pStyle w:val="Normal"/>
        <w:spacing w:lineRule="auto" w:line="360"/>
        <w:jc w:val="left"/>
        <w:rPr>
          <w:rFonts w:cs="Arial"/>
          <w:szCs w:val="24"/>
        </w:rPr>
      </w:pPr>
      <w:r>
        <w:rPr>
          <w:rFonts w:cs="Arial"/>
          <w:szCs w:val="24"/>
        </w:rPr>
      </w:r>
    </w:p>
    <w:p>
      <w:pPr>
        <w:pStyle w:val="Normal"/>
        <w:spacing w:lineRule="auto" w:line="360"/>
        <w:jc w:val="left"/>
        <w:rPr>
          <w:rFonts w:cs="Arial"/>
          <w:szCs w:val="24"/>
        </w:rPr>
      </w:pPr>
      <w:r>
        <w:rPr>
          <w:rFonts w:cs="Arial"/>
          <w:szCs w:val="24"/>
        </w:rPr>
      </w:r>
    </w:p>
    <w:p>
      <w:pPr>
        <w:pStyle w:val="Normal"/>
        <w:spacing w:lineRule="auto" w:line="360"/>
        <w:jc w:val="left"/>
        <w:rPr>
          <w:rFonts w:cs="Arial"/>
          <w:szCs w:val="24"/>
        </w:rPr>
      </w:pPr>
      <w:r>
        <w:rPr>
          <w:rFonts w:cs="Arial"/>
          <w:szCs w:val="24"/>
        </w:rPr>
      </w:r>
    </w:p>
    <w:p>
      <w:pPr>
        <w:pStyle w:val="Normal"/>
        <w:jc w:val="center"/>
        <w:rPr>
          <w:rFonts w:cs="Arial"/>
          <w:b/>
          <w:b/>
          <w:bCs/>
          <w:szCs w:val="24"/>
        </w:rPr>
      </w:pPr>
      <w:r>
        <w:rPr>
          <w:rFonts w:cs="Arial"/>
          <w:b/>
          <w:bCs/>
          <w:szCs w:val="24"/>
        </w:rPr>
        <w:t>SUMÁRIO</w:t>
      </w:r>
    </w:p>
    <w:p>
      <w:pPr>
        <w:pStyle w:val="Normal"/>
        <w:jc w:val="center"/>
        <w:rPr>
          <w:rFonts w:cs="Arial"/>
          <w:szCs w:val="24"/>
        </w:rPr>
      </w:pPr>
      <w:r>
        <w:rPr/>
      </w:r>
    </w:p>
    <w:sdt>
      <w:sdtPr>
        <w:docPartObj>
          <w:docPartGallery w:val="Table of Contents"/>
          <w:docPartUnique w:val="true"/>
        </w:docPartObj>
      </w:sdtPr>
      <w:sdtContent>
        <w:p>
          <w:pPr>
            <w:pStyle w:val="Sumrio1"/>
            <w:rPr>
              <w:rFonts w:ascii="Calibri" w:hAnsi="Calibri" w:eastAsia="" w:asciiTheme="minorHAnsi" w:eastAsiaTheme="minorEastAsia" w:hAnsiTheme="minorHAnsi"/>
              <w:b w:val="false"/>
              <w:b w:val="false"/>
              <w:kern w:val="2"/>
              <w:sz w:val="22"/>
              <w:lang w:eastAsia="pt-BR"/>
              <w14:ligatures w14:val="standardContextual"/>
            </w:rPr>
          </w:pPr>
          <w:r>
            <w:fldChar w:fldCharType="begin"/>
          </w:r>
          <w:r>
            <w:rPr>
              <w:webHidden/>
              <w:rStyle w:val="Vnculodendice"/>
            </w:rPr>
            <w:instrText> TOC \z \o "1-5" \u \h</w:instrText>
          </w:r>
          <w:r>
            <w:rPr>
              <w:webHidden/>
              <w:rStyle w:val="Vnculodendice"/>
            </w:rPr>
            <w:fldChar w:fldCharType="separate"/>
          </w:r>
          <w:hyperlink w:anchor="_Toc153611144">
            <w:r>
              <w:rPr>
                <w:webHidden/>
                <w:rStyle w:val="Vnculodendice"/>
              </w:rPr>
              <w:t>1 INTRODUÇÃO</w:t>
            </w:r>
            <w:r>
              <w:rPr>
                <w:webHidden/>
              </w:rPr>
              <w:fldChar w:fldCharType="begin"/>
            </w:r>
            <w:r>
              <w:rPr>
                <w:webHidden/>
              </w:rPr>
              <w:instrText>PAGEREF _Toc153611144 \h</w:instrText>
            </w:r>
            <w:r>
              <w:rPr>
                <w:webHidden/>
              </w:rPr>
              <w:fldChar w:fldCharType="separate"/>
            </w:r>
            <w:r>
              <w:rPr>
                <w:rStyle w:val="Vnculodendice"/>
                <w:vanish w:val="false"/>
              </w:rPr>
              <w:tab/>
              <w:t>16</w:t>
            </w:r>
            <w:r>
              <w:rPr>
                <w:webHidden/>
              </w:rPr>
              <w:fldChar w:fldCharType="end"/>
            </w:r>
          </w:hyperlink>
        </w:p>
        <w:p>
          <w:pPr>
            <w:pStyle w:val="Sumrio2"/>
            <w:tabs>
              <w:tab w:val="clear" w:pos="708"/>
              <w:tab w:val="left" w:pos="880" w:leader="none"/>
              <w:tab w:val="right" w:pos="9061" w:leader="dot"/>
            </w:tabs>
            <w:rPr>
              <w:rFonts w:ascii="Calibri" w:hAnsi="Calibri" w:eastAsia="" w:asciiTheme="minorHAnsi" w:eastAsiaTheme="minorEastAsia" w:hAnsiTheme="minorHAnsi"/>
              <w:b w:val="false"/>
              <w:b w:val="false"/>
              <w:kern w:val="2"/>
              <w:sz w:val="22"/>
              <w:lang w:eastAsia="pt-BR"/>
              <w14:ligatures w14:val="standardContextual"/>
            </w:rPr>
          </w:pPr>
          <w:hyperlink w:anchor="_Toc153611145">
            <w:r>
              <w:rPr>
                <w:webHidden/>
                <w:rStyle w:val="Vnculodendice"/>
              </w:rPr>
              <w:t>1.1</w:t>
            </w:r>
            <w:r>
              <w:rPr>
                <w:rStyle w:val="Vnculodendice"/>
                <w:rFonts w:eastAsia="" w:ascii="Calibri" w:hAnsi="Calibri" w:asciiTheme="minorHAnsi" w:eastAsiaTheme="minorEastAsia" w:hAnsiTheme="minorHAnsi"/>
                <w:b w:val="false"/>
                <w:kern w:val="2"/>
                <w:sz w:val="22"/>
                <w:lang w:eastAsia="pt-BR"/>
                <w14:ligatures w14:val="standardContextual"/>
              </w:rPr>
              <w:tab/>
            </w:r>
            <w:r>
              <w:rPr>
                <w:rStyle w:val="Vnculodendice"/>
              </w:rPr>
              <w:t>JUSTIFICATIVA</w:t>
            </w:r>
            <w:r>
              <w:rPr>
                <w:webHidden/>
              </w:rPr>
              <w:fldChar w:fldCharType="begin"/>
            </w:r>
            <w:r>
              <w:rPr>
                <w:webHidden/>
              </w:rPr>
              <w:instrText>PAGEREF _Toc153611145 \h</w:instrText>
            </w:r>
            <w:r>
              <w:rPr>
                <w:webHidden/>
              </w:rPr>
              <w:fldChar w:fldCharType="separate"/>
            </w:r>
            <w:r>
              <w:rPr>
                <w:rStyle w:val="Vnculodendice"/>
                <w:vanish w:val="false"/>
              </w:rPr>
              <w:tab/>
              <w:t>17</w:t>
            </w:r>
            <w:r>
              <w:rPr>
                <w:webHidden/>
              </w:rPr>
              <w:fldChar w:fldCharType="end"/>
            </w:r>
          </w:hyperlink>
        </w:p>
        <w:p>
          <w:pPr>
            <w:pStyle w:val="Sumrio2"/>
            <w:tabs>
              <w:tab w:val="clear" w:pos="708"/>
              <w:tab w:val="right" w:pos="9061" w:leader="dot"/>
            </w:tabs>
            <w:rPr>
              <w:rFonts w:ascii="Calibri" w:hAnsi="Calibri" w:eastAsia="" w:asciiTheme="minorHAnsi" w:eastAsiaTheme="minorEastAsia" w:hAnsiTheme="minorHAnsi"/>
              <w:b w:val="false"/>
              <w:b w:val="false"/>
              <w:kern w:val="2"/>
              <w:sz w:val="22"/>
              <w:lang w:eastAsia="pt-BR"/>
              <w14:ligatures w14:val="standardContextual"/>
            </w:rPr>
          </w:pPr>
          <w:hyperlink w:anchor="_Toc153611146">
            <w:r>
              <w:rPr>
                <w:webHidden/>
                <w:rStyle w:val="Vnculodendice"/>
              </w:rPr>
              <w:t>1.2 OBJETIVOS</w:t>
            </w:r>
            <w:r>
              <w:rPr>
                <w:webHidden/>
              </w:rPr>
              <w:fldChar w:fldCharType="begin"/>
            </w:r>
            <w:r>
              <w:rPr>
                <w:webHidden/>
              </w:rPr>
              <w:instrText>PAGEREF _Toc153611146 \h</w:instrText>
            </w:r>
            <w:r>
              <w:rPr>
                <w:webHidden/>
              </w:rPr>
              <w:fldChar w:fldCharType="separate"/>
            </w:r>
            <w:r>
              <w:rPr>
                <w:rStyle w:val="Vnculodendice"/>
                <w:vanish w:val="false"/>
              </w:rPr>
              <w:tab/>
              <w:t>17</w:t>
            </w:r>
            <w:r>
              <w:rPr>
                <w:webHidden/>
              </w:rPr>
              <w:fldChar w:fldCharType="end"/>
            </w:r>
          </w:hyperlink>
        </w:p>
        <w:p>
          <w:pPr>
            <w:pStyle w:val="Sumrio3"/>
            <w:tabs>
              <w:tab w:val="clear" w:pos="708"/>
              <w:tab w:val="right" w:pos="9061" w:leader="dot"/>
            </w:tabs>
            <w:rPr>
              <w:rFonts w:ascii="Calibri" w:hAnsi="Calibri" w:eastAsia="" w:asciiTheme="minorHAnsi" w:eastAsiaTheme="minorEastAsia" w:hAnsiTheme="minorHAnsi"/>
              <w:kern w:val="2"/>
              <w:sz w:val="22"/>
              <w:lang w:eastAsia="pt-BR"/>
              <w14:ligatures w14:val="standardContextual"/>
            </w:rPr>
          </w:pPr>
          <w:hyperlink w:anchor="_Toc153611147">
            <w:r>
              <w:rPr>
                <w:webHidden/>
                <w:rStyle w:val="Vnculodendice"/>
              </w:rPr>
              <w:t>1.2.1 Objetivo Geral</w:t>
            </w:r>
            <w:r>
              <w:rPr>
                <w:webHidden/>
              </w:rPr>
              <w:fldChar w:fldCharType="begin"/>
            </w:r>
            <w:r>
              <w:rPr>
                <w:webHidden/>
              </w:rPr>
              <w:instrText>PAGEREF _Toc153611147 \h</w:instrText>
            </w:r>
            <w:r>
              <w:rPr>
                <w:webHidden/>
              </w:rPr>
              <w:fldChar w:fldCharType="separate"/>
            </w:r>
            <w:r>
              <w:rPr>
                <w:rStyle w:val="Vnculodendice"/>
                <w:vanish w:val="false"/>
              </w:rPr>
              <w:tab/>
              <w:t>17</w:t>
            </w:r>
            <w:r>
              <w:rPr>
                <w:webHidden/>
              </w:rPr>
              <w:fldChar w:fldCharType="end"/>
            </w:r>
          </w:hyperlink>
        </w:p>
        <w:p>
          <w:pPr>
            <w:pStyle w:val="Sumrio3"/>
            <w:tabs>
              <w:tab w:val="clear" w:pos="708"/>
              <w:tab w:val="right" w:pos="9061" w:leader="dot"/>
            </w:tabs>
            <w:rPr>
              <w:rFonts w:ascii="Calibri" w:hAnsi="Calibri" w:eastAsia="" w:asciiTheme="minorHAnsi" w:eastAsiaTheme="minorEastAsia" w:hAnsiTheme="minorHAnsi"/>
              <w:kern w:val="2"/>
              <w:sz w:val="22"/>
              <w:lang w:eastAsia="pt-BR"/>
              <w14:ligatures w14:val="standardContextual"/>
            </w:rPr>
          </w:pPr>
          <w:hyperlink w:anchor="_Toc153611148">
            <w:r>
              <w:rPr>
                <w:webHidden/>
                <w:rStyle w:val="Vnculodendice"/>
              </w:rPr>
              <w:t>1.2.2 Objetivos Específicos</w:t>
            </w:r>
            <w:r>
              <w:rPr>
                <w:webHidden/>
              </w:rPr>
              <w:fldChar w:fldCharType="begin"/>
            </w:r>
            <w:r>
              <w:rPr>
                <w:webHidden/>
              </w:rPr>
              <w:instrText>PAGEREF _Toc153611148 \h</w:instrText>
            </w:r>
            <w:r>
              <w:rPr>
                <w:webHidden/>
              </w:rPr>
              <w:fldChar w:fldCharType="separate"/>
            </w:r>
            <w:r>
              <w:rPr>
                <w:rStyle w:val="Vnculodendice"/>
                <w:vanish w:val="false"/>
              </w:rPr>
              <w:tab/>
              <w:t>17</w:t>
            </w:r>
            <w:r>
              <w:rPr>
                <w:webHidden/>
              </w:rPr>
              <w:fldChar w:fldCharType="end"/>
            </w:r>
          </w:hyperlink>
        </w:p>
        <w:p>
          <w:pPr>
            <w:pStyle w:val="Sumrio2"/>
            <w:tabs>
              <w:tab w:val="clear" w:pos="708"/>
              <w:tab w:val="right" w:pos="9061" w:leader="dot"/>
            </w:tabs>
            <w:rPr>
              <w:rFonts w:ascii="Calibri" w:hAnsi="Calibri" w:eastAsia="" w:asciiTheme="minorHAnsi" w:eastAsiaTheme="minorEastAsia" w:hAnsiTheme="minorHAnsi"/>
              <w:b w:val="false"/>
              <w:b w:val="false"/>
              <w:kern w:val="2"/>
              <w:sz w:val="22"/>
              <w:lang w:eastAsia="pt-BR"/>
              <w14:ligatures w14:val="standardContextual"/>
            </w:rPr>
          </w:pPr>
          <w:hyperlink w:anchor="_Toc153611149">
            <w:r>
              <w:rPr>
                <w:webHidden/>
                <w:rStyle w:val="Vnculodendice"/>
              </w:rPr>
              <w:t>1.3 ESTRUTURA DO TRABALHO</w:t>
            </w:r>
            <w:r>
              <w:rPr>
                <w:webHidden/>
              </w:rPr>
              <w:fldChar w:fldCharType="begin"/>
            </w:r>
            <w:r>
              <w:rPr>
                <w:webHidden/>
              </w:rPr>
              <w:instrText>PAGEREF _Toc153611149 \h</w:instrText>
            </w:r>
            <w:r>
              <w:rPr>
                <w:webHidden/>
              </w:rPr>
              <w:fldChar w:fldCharType="separate"/>
            </w:r>
            <w:r>
              <w:rPr>
                <w:rStyle w:val="Vnculodendice"/>
                <w:vanish w:val="false"/>
              </w:rPr>
              <w:tab/>
              <w:t>18</w:t>
            </w:r>
            <w:r>
              <w:rPr>
                <w:webHidden/>
              </w:rPr>
              <w:fldChar w:fldCharType="end"/>
            </w:r>
          </w:hyperlink>
        </w:p>
        <w:p>
          <w:pPr>
            <w:pStyle w:val="Sumrio1"/>
            <w:rPr>
              <w:rFonts w:ascii="Calibri" w:hAnsi="Calibri" w:eastAsia="" w:asciiTheme="minorHAnsi" w:eastAsiaTheme="minorEastAsia" w:hAnsiTheme="minorHAnsi"/>
              <w:b w:val="false"/>
              <w:b w:val="false"/>
              <w:kern w:val="2"/>
              <w:sz w:val="22"/>
              <w:lang w:eastAsia="pt-BR"/>
              <w14:ligatures w14:val="standardContextual"/>
            </w:rPr>
          </w:pPr>
          <w:hyperlink w:anchor="_Toc153611150">
            <w:r>
              <w:rPr>
                <w:webHidden/>
                <w:rStyle w:val="Vnculodendice"/>
              </w:rPr>
              <w:t>2 REVISÃO BIBLIOGRÁFICA</w:t>
            </w:r>
            <w:r>
              <w:rPr>
                <w:webHidden/>
              </w:rPr>
              <w:fldChar w:fldCharType="begin"/>
            </w:r>
            <w:r>
              <w:rPr>
                <w:webHidden/>
              </w:rPr>
              <w:instrText>PAGEREF _Toc153611150 \h</w:instrText>
            </w:r>
            <w:r>
              <w:rPr>
                <w:webHidden/>
              </w:rPr>
              <w:fldChar w:fldCharType="separate"/>
            </w:r>
            <w:r>
              <w:rPr>
                <w:rStyle w:val="Vnculodendice"/>
                <w:vanish w:val="false"/>
              </w:rPr>
              <w:tab/>
              <w:t>20</w:t>
            </w:r>
            <w:r>
              <w:rPr>
                <w:webHidden/>
              </w:rPr>
              <w:fldChar w:fldCharType="end"/>
            </w:r>
          </w:hyperlink>
        </w:p>
        <w:p>
          <w:pPr>
            <w:pStyle w:val="Sumrio2"/>
            <w:tabs>
              <w:tab w:val="clear" w:pos="708"/>
              <w:tab w:val="right" w:pos="9061" w:leader="dot"/>
            </w:tabs>
            <w:rPr>
              <w:rFonts w:ascii="Calibri" w:hAnsi="Calibri" w:eastAsia="" w:asciiTheme="minorHAnsi" w:eastAsiaTheme="minorEastAsia" w:hAnsiTheme="minorHAnsi"/>
              <w:b w:val="false"/>
              <w:b w:val="false"/>
              <w:kern w:val="2"/>
              <w:sz w:val="22"/>
              <w:lang w:eastAsia="pt-BR"/>
              <w14:ligatures w14:val="standardContextual"/>
            </w:rPr>
          </w:pPr>
          <w:hyperlink w:anchor="_Toc153611151">
            <w:r>
              <w:rPr>
                <w:webHidden/>
                <w:rStyle w:val="Vnculodendice"/>
              </w:rPr>
              <w:t>2.1 SEGURANÇA DO TRABALHO</w:t>
            </w:r>
            <w:r>
              <w:rPr>
                <w:webHidden/>
              </w:rPr>
              <w:fldChar w:fldCharType="begin"/>
            </w:r>
            <w:r>
              <w:rPr>
                <w:webHidden/>
              </w:rPr>
              <w:instrText>PAGEREF _Toc153611151 \h</w:instrText>
            </w:r>
            <w:r>
              <w:rPr>
                <w:webHidden/>
              </w:rPr>
              <w:fldChar w:fldCharType="separate"/>
            </w:r>
            <w:r>
              <w:rPr>
                <w:rStyle w:val="Vnculodendice"/>
                <w:vanish w:val="false"/>
              </w:rPr>
              <w:tab/>
              <w:t>20</w:t>
            </w:r>
            <w:r>
              <w:rPr>
                <w:webHidden/>
              </w:rPr>
              <w:fldChar w:fldCharType="end"/>
            </w:r>
          </w:hyperlink>
        </w:p>
        <w:p>
          <w:pPr>
            <w:pStyle w:val="Sumrio2"/>
            <w:tabs>
              <w:tab w:val="clear" w:pos="708"/>
              <w:tab w:val="right" w:pos="9061" w:leader="dot"/>
            </w:tabs>
            <w:rPr>
              <w:rFonts w:ascii="Calibri" w:hAnsi="Calibri" w:eastAsia="" w:asciiTheme="minorHAnsi" w:eastAsiaTheme="minorEastAsia" w:hAnsiTheme="minorHAnsi"/>
              <w:b w:val="false"/>
              <w:b w:val="false"/>
              <w:kern w:val="2"/>
              <w:sz w:val="22"/>
              <w:lang w:eastAsia="pt-BR"/>
              <w14:ligatures w14:val="standardContextual"/>
            </w:rPr>
          </w:pPr>
          <w:hyperlink w:anchor="_Toc153611152">
            <w:r>
              <w:rPr>
                <w:webHidden/>
                <w:rStyle w:val="Vnculodendice"/>
              </w:rPr>
              <w:t>2.2 ACIDENTE DE TRABALHO NA CONSTRUÇÃO CIVIL</w:t>
            </w:r>
            <w:r>
              <w:rPr>
                <w:webHidden/>
              </w:rPr>
              <w:fldChar w:fldCharType="begin"/>
            </w:r>
            <w:r>
              <w:rPr>
                <w:webHidden/>
              </w:rPr>
              <w:instrText>PAGEREF _Toc153611152 \h</w:instrText>
            </w:r>
            <w:r>
              <w:rPr>
                <w:webHidden/>
              </w:rPr>
              <w:fldChar w:fldCharType="separate"/>
            </w:r>
            <w:r>
              <w:rPr>
                <w:rStyle w:val="Vnculodendice"/>
                <w:vanish w:val="false"/>
              </w:rPr>
              <w:tab/>
              <w:t>21</w:t>
            </w:r>
            <w:r>
              <w:rPr>
                <w:webHidden/>
              </w:rPr>
              <w:fldChar w:fldCharType="end"/>
            </w:r>
          </w:hyperlink>
        </w:p>
        <w:p>
          <w:pPr>
            <w:pStyle w:val="Sumrio3"/>
            <w:tabs>
              <w:tab w:val="clear" w:pos="708"/>
              <w:tab w:val="right" w:pos="9061" w:leader="dot"/>
            </w:tabs>
            <w:rPr>
              <w:rFonts w:ascii="Calibri" w:hAnsi="Calibri" w:eastAsia="" w:asciiTheme="minorHAnsi" w:eastAsiaTheme="minorEastAsia" w:hAnsiTheme="minorHAnsi"/>
              <w:kern w:val="2"/>
              <w:sz w:val="22"/>
              <w:lang w:eastAsia="pt-BR"/>
              <w14:ligatures w14:val="standardContextual"/>
            </w:rPr>
          </w:pPr>
          <w:hyperlink w:anchor="_Toc153611153">
            <w:r>
              <w:rPr>
                <w:webHidden/>
                <w:rStyle w:val="Vnculodendice"/>
              </w:rPr>
              <w:t>2.2.1 Construção civil</w:t>
            </w:r>
            <w:r>
              <w:rPr>
                <w:webHidden/>
              </w:rPr>
              <w:fldChar w:fldCharType="begin"/>
            </w:r>
            <w:r>
              <w:rPr>
                <w:webHidden/>
              </w:rPr>
              <w:instrText>PAGEREF _Toc153611153 \h</w:instrText>
            </w:r>
            <w:r>
              <w:rPr>
                <w:webHidden/>
              </w:rPr>
              <w:fldChar w:fldCharType="separate"/>
            </w:r>
            <w:r>
              <w:rPr>
                <w:rStyle w:val="Vnculodendice"/>
                <w:vanish w:val="false"/>
              </w:rPr>
              <w:tab/>
              <w:t>21</w:t>
            </w:r>
            <w:r>
              <w:rPr>
                <w:webHidden/>
              </w:rPr>
              <w:fldChar w:fldCharType="end"/>
            </w:r>
          </w:hyperlink>
        </w:p>
        <w:p>
          <w:pPr>
            <w:pStyle w:val="Sumrio3"/>
            <w:tabs>
              <w:tab w:val="clear" w:pos="708"/>
              <w:tab w:val="right" w:pos="9061" w:leader="dot"/>
            </w:tabs>
            <w:rPr>
              <w:rFonts w:ascii="Calibri" w:hAnsi="Calibri" w:eastAsia="" w:asciiTheme="minorHAnsi" w:eastAsiaTheme="minorEastAsia" w:hAnsiTheme="minorHAnsi"/>
              <w:kern w:val="2"/>
              <w:sz w:val="22"/>
              <w:lang w:eastAsia="pt-BR"/>
              <w14:ligatures w14:val="standardContextual"/>
            </w:rPr>
          </w:pPr>
          <w:hyperlink w:anchor="_Toc153611154">
            <w:r>
              <w:rPr>
                <w:webHidden/>
                <w:rStyle w:val="Vnculodendice"/>
              </w:rPr>
              <w:t>2.2.2 Acidente de trabalho na construção civil</w:t>
            </w:r>
            <w:r>
              <w:rPr>
                <w:webHidden/>
              </w:rPr>
              <w:fldChar w:fldCharType="begin"/>
            </w:r>
            <w:r>
              <w:rPr>
                <w:webHidden/>
              </w:rPr>
              <w:instrText>PAGEREF _Toc153611154 \h</w:instrText>
            </w:r>
            <w:r>
              <w:rPr>
                <w:webHidden/>
              </w:rPr>
              <w:fldChar w:fldCharType="separate"/>
            </w:r>
            <w:r>
              <w:rPr>
                <w:rStyle w:val="Vnculodendice"/>
                <w:vanish w:val="false"/>
              </w:rPr>
              <w:tab/>
              <w:t>22</w:t>
            </w:r>
            <w:r>
              <w:rPr>
                <w:webHidden/>
              </w:rPr>
              <w:fldChar w:fldCharType="end"/>
            </w:r>
          </w:hyperlink>
        </w:p>
        <w:p>
          <w:pPr>
            <w:pStyle w:val="Sumrio2"/>
            <w:tabs>
              <w:tab w:val="clear" w:pos="708"/>
              <w:tab w:val="right" w:pos="9061" w:leader="dot"/>
            </w:tabs>
            <w:rPr>
              <w:rFonts w:ascii="Calibri" w:hAnsi="Calibri" w:eastAsia="" w:asciiTheme="minorHAnsi" w:eastAsiaTheme="minorEastAsia" w:hAnsiTheme="minorHAnsi"/>
              <w:b w:val="false"/>
              <w:b w:val="false"/>
              <w:kern w:val="2"/>
              <w:sz w:val="22"/>
              <w:lang w:eastAsia="pt-BR"/>
              <w14:ligatures w14:val="standardContextual"/>
            </w:rPr>
          </w:pPr>
          <w:hyperlink w:anchor="_Toc153611155">
            <w:r>
              <w:rPr>
                <w:webHidden/>
                <w:rStyle w:val="Vnculodendice"/>
              </w:rPr>
              <w:t>2.3 NORMAS REGULAMENTADORAS</w:t>
            </w:r>
            <w:r>
              <w:rPr>
                <w:webHidden/>
              </w:rPr>
              <w:fldChar w:fldCharType="begin"/>
            </w:r>
            <w:r>
              <w:rPr>
                <w:webHidden/>
              </w:rPr>
              <w:instrText>PAGEREF _Toc153611155 \h</w:instrText>
            </w:r>
            <w:r>
              <w:rPr>
                <w:webHidden/>
              </w:rPr>
              <w:fldChar w:fldCharType="separate"/>
            </w:r>
            <w:r>
              <w:rPr>
                <w:rStyle w:val="Vnculodendice"/>
                <w:vanish w:val="false"/>
              </w:rPr>
              <w:tab/>
              <w:t>25</w:t>
            </w:r>
            <w:r>
              <w:rPr>
                <w:webHidden/>
              </w:rPr>
              <w:fldChar w:fldCharType="end"/>
            </w:r>
          </w:hyperlink>
        </w:p>
        <w:p>
          <w:pPr>
            <w:pStyle w:val="Sumrio3"/>
            <w:tabs>
              <w:tab w:val="clear" w:pos="708"/>
              <w:tab w:val="right" w:pos="9061" w:leader="dot"/>
            </w:tabs>
            <w:rPr>
              <w:rFonts w:ascii="Calibri" w:hAnsi="Calibri" w:eastAsia="" w:asciiTheme="minorHAnsi" w:eastAsiaTheme="minorEastAsia" w:hAnsiTheme="minorHAnsi"/>
              <w:kern w:val="2"/>
              <w:sz w:val="22"/>
              <w:lang w:eastAsia="pt-BR"/>
              <w14:ligatures w14:val="standardContextual"/>
            </w:rPr>
          </w:pPr>
          <w:hyperlink w:anchor="_Toc153611156">
            <w:r>
              <w:rPr>
                <w:webHidden/>
                <w:rStyle w:val="Vnculodendice"/>
              </w:rPr>
              <w:t>2.3.1 NR 18 – Segurança e saúde no trabalho na indústria da construção</w:t>
            </w:r>
            <w:r>
              <w:rPr>
                <w:webHidden/>
              </w:rPr>
              <w:fldChar w:fldCharType="begin"/>
            </w:r>
            <w:r>
              <w:rPr>
                <w:webHidden/>
              </w:rPr>
              <w:instrText>PAGEREF _Toc153611156 \h</w:instrText>
            </w:r>
            <w:r>
              <w:rPr>
                <w:webHidden/>
              </w:rPr>
              <w:fldChar w:fldCharType="separate"/>
            </w:r>
            <w:r>
              <w:rPr>
                <w:rStyle w:val="Vnculodendice"/>
                <w:vanish w:val="false"/>
              </w:rPr>
              <w:tab/>
              <w:t>26</w:t>
            </w:r>
            <w:r>
              <w:rPr>
                <w:webHidden/>
              </w:rPr>
              <w:fldChar w:fldCharType="end"/>
            </w:r>
          </w:hyperlink>
        </w:p>
        <w:p>
          <w:pPr>
            <w:pStyle w:val="Sumrio3"/>
            <w:tabs>
              <w:tab w:val="clear" w:pos="708"/>
              <w:tab w:val="right" w:pos="9061" w:leader="dot"/>
            </w:tabs>
            <w:rPr>
              <w:rFonts w:ascii="Calibri" w:hAnsi="Calibri" w:eastAsia="" w:asciiTheme="minorHAnsi" w:eastAsiaTheme="minorEastAsia" w:hAnsiTheme="minorHAnsi"/>
              <w:kern w:val="2"/>
              <w:sz w:val="22"/>
              <w:lang w:eastAsia="pt-BR"/>
              <w14:ligatures w14:val="standardContextual"/>
            </w:rPr>
          </w:pPr>
          <w:hyperlink w:anchor="_Toc153611157">
            <w:r>
              <w:rPr>
                <w:webHidden/>
                <w:rStyle w:val="Vnculodendice"/>
              </w:rPr>
              <w:t>2.3.2 Canteiro de obras</w:t>
            </w:r>
            <w:r>
              <w:rPr>
                <w:webHidden/>
              </w:rPr>
              <w:fldChar w:fldCharType="begin"/>
            </w:r>
            <w:r>
              <w:rPr>
                <w:webHidden/>
              </w:rPr>
              <w:instrText>PAGEREF _Toc153611157 \h</w:instrText>
            </w:r>
            <w:r>
              <w:rPr>
                <w:webHidden/>
              </w:rPr>
              <w:fldChar w:fldCharType="separate"/>
            </w:r>
            <w:r>
              <w:rPr>
                <w:rStyle w:val="Vnculodendice"/>
                <w:vanish w:val="false"/>
              </w:rPr>
              <w:tab/>
              <w:t>27</w:t>
            </w:r>
            <w:r>
              <w:rPr>
                <w:webHidden/>
              </w:rPr>
              <w:fldChar w:fldCharType="end"/>
            </w:r>
          </w:hyperlink>
        </w:p>
        <w:p>
          <w:pPr>
            <w:pStyle w:val="Sumrio4"/>
            <w:tabs>
              <w:tab w:val="clear" w:pos="708"/>
              <w:tab w:val="right" w:pos="9061" w:leader="dot"/>
            </w:tabs>
            <w:rPr>
              <w:rFonts w:ascii="Calibri" w:hAnsi="Calibri" w:eastAsia="" w:asciiTheme="minorHAnsi" w:eastAsiaTheme="minorEastAsia" w:hAnsiTheme="minorHAnsi"/>
              <w:kern w:val="2"/>
              <w:sz w:val="22"/>
              <w:lang w:eastAsia="pt-BR"/>
              <w14:ligatures w14:val="standardContextual"/>
            </w:rPr>
          </w:pPr>
          <w:hyperlink w:anchor="_Toc153611158">
            <w:r>
              <w:rPr>
                <w:webHidden/>
                <w:rStyle w:val="Vnculodendice"/>
              </w:rPr>
              <w:t>2.3.2.1 Áreas de vivência</w:t>
            </w:r>
            <w:r>
              <w:rPr>
                <w:webHidden/>
              </w:rPr>
              <w:fldChar w:fldCharType="begin"/>
            </w:r>
            <w:r>
              <w:rPr>
                <w:webHidden/>
              </w:rPr>
              <w:instrText>PAGEREF _Toc153611158 \h</w:instrText>
            </w:r>
            <w:r>
              <w:rPr>
                <w:webHidden/>
              </w:rPr>
              <w:fldChar w:fldCharType="separate"/>
            </w:r>
            <w:r>
              <w:rPr>
                <w:rStyle w:val="Vnculodendice"/>
                <w:vanish w:val="false"/>
              </w:rPr>
              <w:tab/>
              <w:t>28</w:t>
            </w:r>
            <w:r>
              <w:rPr>
                <w:webHidden/>
              </w:rPr>
              <w:fldChar w:fldCharType="end"/>
            </w:r>
          </w:hyperlink>
        </w:p>
        <w:p>
          <w:pPr>
            <w:pStyle w:val="Sumrio4"/>
            <w:tabs>
              <w:tab w:val="clear" w:pos="708"/>
              <w:tab w:val="right" w:pos="9061" w:leader="dot"/>
            </w:tabs>
            <w:rPr>
              <w:rFonts w:ascii="Calibri" w:hAnsi="Calibri" w:eastAsia="" w:asciiTheme="minorHAnsi" w:eastAsiaTheme="minorEastAsia" w:hAnsiTheme="minorHAnsi"/>
              <w:kern w:val="2"/>
              <w:sz w:val="22"/>
              <w:lang w:eastAsia="pt-BR"/>
              <w14:ligatures w14:val="standardContextual"/>
            </w:rPr>
          </w:pPr>
          <w:hyperlink w:anchor="_Toc153611159">
            <w:r>
              <w:rPr>
                <w:webHidden/>
                <w:rStyle w:val="Vnculodendice"/>
              </w:rPr>
              <w:t>2.3.2.2 Instalações elétricas</w:t>
            </w:r>
            <w:r>
              <w:rPr>
                <w:webHidden/>
              </w:rPr>
              <w:fldChar w:fldCharType="begin"/>
            </w:r>
            <w:r>
              <w:rPr>
                <w:webHidden/>
              </w:rPr>
              <w:instrText>PAGEREF _Toc153611159 \h</w:instrText>
            </w:r>
            <w:r>
              <w:rPr>
                <w:webHidden/>
              </w:rPr>
              <w:fldChar w:fldCharType="separate"/>
            </w:r>
            <w:r>
              <w:rPr>
                <w:rStyle w:val="Vnculodendice"/>
                <w:vanish w:val="false"/>
              </w:rPr>
              <w:tab/>
              <w:t>29</w:t>
            </w:r>
            <w:r>
              <w:rPr>
                <w:webHidden/>
              </w:rPr>
              <w:fldChar w:fldCharType="end"/>
            </w:r>
          </w:hyperlink>
        </w:p>
        <w:p>
          <w:pPr>
            <w:pStyle w:val="Sumrio4"/>
            <w:tabs>
              <w:tab w:val="clear" w:pos="708"/>
              <w:tab w:val="right" w:pos="9061" w:leader="dot"/>
            </w:tabs>
            <w:rPr>
              <w:rFonts w:ascii="Calibri" w:hAnsi="Calibri" w:eastAsia="" w:asciiTheme="minorHAnsi" w:eastAsiaTheme="minorEastAsia" w:hAnsiTheme="minorHAnsi"/>
              <w:kern w:val="2"/>
              <w:sz w:val="22"/>
              <w:lang w:eastAsia="pt-BR"/>
              <w14:ligatures w14:val="standardContextual"/>
            </w:rPr>
          </w:pPr>
          <w:hyperlink w:anchor="_Toc153611160">
            <w:r>
              <w:rPr>
                <w:webHidden/>
                <w:rStyle w:val="Vnculodendice"/>
              </w:rPr>
              <w:t>2.3.2.3 Escadas, rampas e passarelas</w:t>
            </w:r>
            <w:r>
              <w:rPr>
                <w:webHidden/>
              </w:rPr>
              <w:fldChar w:fldCharType="begin"/>
            </w:r>
            <w:r>
              <w:rPr>
                <w:webHidden/>
              </w:rPr>
              <w:instrText>PAGEREF _Toc153611160 \h</w:instrText>
            </w:r>
            <w:r>
              <w:rPr>
                <w:webHidden/>
              </w:rPr>
              <w:fldChar w:fldCharType="separate"/>
            </w:r>
            <w:r>
              <w:rPr>
                <w:rStyle w:val="Vnculodendice"/>
                <w:vanish w:val="false"/>
              </w:rPr>
              <w:tab/>
              <w:t>29</w:t>
            </w:r>
            <w:r>
              <w:rPr>
                <w:webHidden/>
              </w:rPr>
              <w:fldChar w:fldCharType="end"/>
            </w:r>
          </w:hyperlink>
        </w:p>
        <w:p>
          <w:pPr>
            <w:pStyle w:val="Sumrio4"/>
            <w:tabs>
              <w:tab w:val="clear" w:pos="708"/>
              <w:tab w:val="right" w:pos="9061" w:leader="dot"/>
            </w:tabs>
            <w:rPr>
              <w:rFonts w:ascii="Calibri" w:hAnsi="Calibri" w:eastAsia="" w:asciiTheme="minorHAnsi" w:eastAsiaTheme="minorEastAsia" w:hAnsiTheme="minorHAnsi"/>
              <w:kern w:val="2"/>
              <w:sz w:val="22"/>
              <w:lang w:eastAsia="pt-BR"/>
              <w14:ligatures w14:val="standardContextual"/>
            </w:rPr>
          </w:pPr>
          <w:hyperlink w:anchor="_Toc153611161">
            <w:r>
              <w:rPr>
                <w:webHidden/>
                <w:rStyle w:val="Vnculodendice"/>
              </w:rPr>
              <w:t>2.3.2.4 Medidas de prevenção contra queda de altura</w:t>
            </w:r>
            <w:r>
              <w:rPr>
                <w:webHidden/>
              </w:rPr>
              <w:fldChar w:fldCharType="begin"/>
            </w:r>
            <w:r>
              <w:rPr>
                <w:webHidden/>
              </w:rPr>
              <w:instrText>PAGEREF _Toc153611161 \h</w:instrText>
            </w:r>
            <w:r>
              <w:rPr>
                <w:webHidden/>
              </w:rPr>
              <w:fldChar w:fldCharType="separate"/>
            </w:r>
            <w:r>
              <w:rPr>
                <w:rStyle w:val="Vnculodendice"/>
                <w:vanish w:val="false"/>
              </w:rPr>
              <w:tab/>
              <w:t>30</w:t>
            </w:r>
            <w:r>
              <w:rPr>
                <w:webHidden/>
              </w:rPr>
              <w:fldChar w:fldCharType="end"/>
            </w:r>
          </w:hyperlink>
        </w:p>
        <w:p>
          <w:pPr>
            <w:pStyle w:val="Sumrio4"/>
            <w:tabs>
              <w:tab w:val="clear" w:pos="708"/>
              <w:tab w:val="right" w:pos="9061" w:leader="dot"/>
            </w:tabs>
            <w:rPr>
              <w:rFonts w:ascii="Calibri" w:hAnsi="Calibri" w:eastAsia="" w:asciiTheme="minorHAnsi" w:eastAsiaTheme="minorEastAsia" w:hAnsiTheme="minorHAnsi"/>
              <w:kern w:val="2"/>
              <w:sz w:val="22"/>
              <w:lang w:eastAsia="pt-BR"/>
              <w14:ligatures w14:val="standardContextual"/>
            </w:rPr>
          </w:pPr>
          <w:hyperlink w:anchor="_Toc153611162">
            <w:r>
              <w:rPr>
                <w:webHidden/>
                <w:rStyle w:val="Vnculodendice"/>
              </w:rPr>
              <w:t>2.3.2.5 Máquinas, equipamentos e ferramentas</w:t>
            </w:r>
            <w:r>
              <w:rPr>
                <w:webHidden/>
              </w:rPr>
              <w:fldChar w:fldCharType="begin"/>
            </w:r>
            <w:r>
              <w:rPr>
                <w:webHidden/>
              </w:rPr>
              <w:instrText>PAGEREF _Toc153611162 \h</w:instrText>
            </w:r>
            <w:r>
              <w:rPr>
                <w:webHidden/>
              </w:rPr>
              <w:fldChar w:fldCharType="separate"/>
            </w:r>
            <w:r>
              <w:rPr>
                <w:rStyle w:val="Vnculodendice"/>
                <w:vanish w:val="false"/>
              </w:rPr>
              <w:tab/>
              <w:t>31</w:t>
            </w:r>
            <w:r>
              <w:rPr>
                <w:webHidden/>
              </w:rPr>
              <w:fldChar w:fldCharType="end"/>
            </w:r>
          </w:hyperlink>
        </w:p>
        <w:p>
          <w:pPr>
            <w:pStyle w:val="Sumrio4"/>
            <w:tabs>
              <w:tab w:val="clear" w:pos="708"/>
              <w:tab w:val="right" w:pos="9061" w:leader="dot"/>
            </w:tabs>
            <w:rPr>
              <w:rFonts w:ascii="Calibri" w:hAnsi="Calibri" w:eastAsia="" w:asciiTheme="minorHAnsi" w:eastAsiaTheme="minorEastAsia" w:hAnsiTheme="minorHAnsi"/>
              <w:kern w:val="2"/>
              <w:sz w:val="22"/>
              <w:lang w:eastAsia="pt-BR"/>
              <w14:ligatures w14:val="standardContextual"/>
            </w:rPr>
          </w:pPr>
          <w:hyperlink w:anchor="_Toc153611163">
            <w:r>
              <w:rPr>
                <w:webHidden/>
                <w:rStyle w:val="Vnculodendice"/>
              </w:rPr>
              <w:t>2.3.2.6 Andaimes e plataforma de trabalho</w:t>
            </w:r>
            <w:r>
              <w:rPr>
                <w:webHidden/>
              </w:rPr>
              <w:fldChar w:fldCharType="begin"/>
            </w:r>
            <w:r>
              <w:rPr>
                <w:webHidden/>
              </w:rPr>
              <w:instrText>PAGEREF _Toc153611163 \h</w:instrText>
            </w:r>
            <w:r>
              <w:rPr>
                <w:webHidden/>
              </w:rPr>
              <w:fldChar w:fldCharType="separate"/>
            </w:r>
            <w:r>
              <w:rPr>
                <w:rStyle w:val="Vnculodendice"/>
                <w:vanish w:val="false"/>
              </w:rPr>
              <w:tab/>
              <w:t>31</w:t>
            </w:r>
            <w:r>
              <w:rPr>
                <w:webHidden/>
              </w:rPr>
              <w:fldChar w:fldCharType="end"/>
            </w:r>
          </w:hyperlink>
        </w:p>
        <w:p>
          <w:pPr>
            <w:pStyle w:val="Sumrio4"/>
            <w:tabs>
              <w:tab w:val="clear" w:pos="708"/>
              <w:tab w:val="right" w:pos="9061" w:leader="dot"/>
            </w:tabs>
            <w:rPr>
              <w:rFonts w:ascii="Calibri" w:hAnsi="Calibri" w:eastAsia="" w:asciiTheme="minorHAnsi" w:eastAsiaTheme="minorEastAsia" w:hAnsiTheme="minorHAnsi"/>
              <w:kern w:val="2"/>
              <w:sz w:val="22"/>
              <w:lang w:eastAsia="pt-BR"/>
              <w14:ligatures w14:val="standardContextual"/>
            </w:rPr>
          </w:pPr>
          <w:hyperlink w:anchor="_Toc153611164">
            <w:r>
              <w:rPr>
                <w:webHidden/>
                <w:rStyle w:val="Vnculodendice"/>
              </w:rPr>
              <w:t>2.3.2.7 Sinalização de segurança</w:t>
            </w:r>
            <w:r>
              <w:rPr>
                <w:webHidden/>
              </w:rPr>
              <w:fldChar w:fldCharType="begin"/>
            </w:r>
            <w:r>
              <w:rPr>
                <w:webHidden/>
              </w:rPr>
              <w:instrText>PAGEREF _Toc153611164 \h</w:instrText>
            </w:r>
            <w:r>
              <w:rPr>
                <w:webHidden/>
              </w:rPr>
              <w:fldChar w:fldCharType="separate"/>
            </w:r>
            <w:r>
              <w:rPr>
                <w:rStyle w:val="Vnculodendice"/>
                <w:vanish w:val="false"/>
              </w:rPr>
              <w:tab/>
              <w:t>32</w:t>
            </w:r>
            <w:r>
              <w:rPr>
                <w:webHidden/>
              </w:rPr>
              <w:fldChar w:fldCharType="end"/>
            </w:r>
          </w:hyperlink>
        </w:p>
        <w:p>
          <w:pPr>
            <w:pStyle w:val="Sumrio4"/>
            <w:tabs>
              <w:tab w:val="clear" w:pos="708"/>
              <w:tab w:val="right" w:pos="9061" w:leader="dot"/>
            </w:tabs>
            <w:rPr>
              <w:rFonts w:ascii="Calibri" w:hAnsi="Calibri" w:eastAsia="" w:asciiTheme="minorHAnsi" w:eastAsiaTheme="minorEastAsia" w:hAnsiTheme="minorHAnsi"/>
              <w:kern w:val="2"/>
              <w:sz w:val="22"/>
              <w:lang w:eastAsia="pt-BR"/>
              <w14:ligatures w14:val="standardContextual"/>
            </w:rPr>
          </w:pPr>
          <w:hyperlink w:anchor="_Toc153611165">
            <w:r>
              <w:rPr>
                <w:webHidden/>
                <w:rStyle w:val="Vnculodendice"/>
              </w:rPr>
              <w:t>2.3.2.8 Capacitação de colaboradores</w:t>
            </w:r>
            <w:r>
              <w:rPr>
                <w:webHidden/>
              </w:rPr>
              <w:fldChar w:fldCharType="begin"/>
            </w:r>
            <w:r>
              <w:rPr>
                <w:webHidden/>
              </w:rPr>
              <w:instrText>PAGEREF _Toc153611165 \h</w:instrText>
            </w:r>
            <w:r>
              <w:rPr>
                <w:webHidden/>
              </w:rPr>
              <w:fldChar w:fldCharType="separate"/>
            </w:r>
            <w:r>
              <w:rPr>
                <w:rStyle w:val="Vnculodendice"/>
                <w:vanish w:val="false"/>
              </w:rPr>
              <w:tab/>
              <w:t>33</w:t>
            </w:r>
            <w:r>
              <w:rPr>
                <w:webHidden/>
              </w:rPr>
              <w:fldChar w:fldCharType="end"/>
            </w:r>
          </w:hyperlink>
        </w:p>
        <w:p>
          <w:pPr>
            <w:pStyle w:val="Sumrio1"/>
            <w:rPr>
              <w:rFonts w:ascii="Calibri" w:hAnsi="Calibri" w:eastAsia="" w:asciiTheme="minorHAnsi" w:eastAsiaTheme="minorEastAsia" w:hAnsiTheme="minorHAnsi"/>
              <w:b w:val="false"/>
              <w:b w:val="false"/>
              <w:kern w:val="2"/>
              <w:sz w:val="22"/>
              <w:lang w:eastAsia="pt-BR"/>
              <w14:ligatures w14:val="standardContextual"/>
            </w:rPr>
          </w:pPr>
          <w:hyperlink w:anchor="_Toc153611166">
            <w:r>
              <w:rPr>
                <w:webHidden/>
                <w:rStyle w:val="Vnculodendice"/>
              </w:rPr>
              <w:t>3 METODOLOGIA</w:t>
            </w:r>
            <w:r>
              <w:rPr>
                <w:webHidden/>
              </w:rPr>
              <w:fldChar w:fldCharType="begin"/>
            </w:r>
            <w:r>
              <w:rPr>
                <w:webHidden/>
              </w:rPr>
              <w:instrText>PAGEREF _Toc153611166 \h</w:instrText>
            </w:r>
            <w:r>
              <w:rPr>
                <w:webHidden/>
              </w:rPr>
              <w:fldChar w:fldCharType="separate"/>
            </w:r>
            <w:r>
              <w:rPr>
                <w:rStyle w:val="Vnculodendice"/>
                <w:vanish w:val="false"/>
              </w:rPr>
              <w:tab/>
              <w:t>35</w:t>
            </w:r>
            <w:r>
              <w:rPr>
                <w:webHidden/>
              </w:rPr>
              <w:fldChar w:fldCharType="end"/>
            </w:r>
          </w:hyperlink>
        </w:p>
        <w:p>
          <w:pPr>
            <w:pStyle w:val="Sumrio2"/>
            <w:tabs>
              <w:tab w:val="clear" w:pos="708"/>
              <w:tab w:val="right" w:pos="9061" w:leader="dot"/>
            </w:tabs>
            <w:rPr>
              <w:rFonts w:ascii="Calibri" w:hAnsi="Calibri" w:eastAsia="" w:asciiTheme="minorHAnsi" w:eastAsiaTheme="minorEastAsia" w:hAnsiTheme="minorHAnsi"/>
              <w:b w:val="false"/>
              <w:b w:val="false"/>
              <w:kern w:val="2"/>
              <w:sz w:val="22"/>
              <w:lang w:eastAsia="pt-BR"/>
              <w14:ligatures w14:val="standardContextual"/>
            </w:rPr>
          </w:pPr>
          <w:hyperlink w:anchor="_Toc153611167">
            <w:r>
              <w:rPr>
                <w:webHidden/>
                <w:rStyle w:val="Vnculodendice"/>
              </w:rPr>
              <w:t>3.1 MATERIAIS E MÉTODOS</w:t>
            </w:r>
            <w:r>
              <w:rPr>
                <w:webHidden/>
              </w:rPr>
              <w:fldChar w:fldCharType="begin"/>
            </w:r>
            <w:r>
              <w:rPr>
                <w:webHidden/>
              </w:rPr>
              <w:instrText>PAGEREF _Toc153611167 \h</w:instrText>
            </w:r>
            <w:r>
              <w:rPr>
                <w:webHidden/>
              </w:rPr>
              <w:fldChar w:fldCharType="separate"/>
            </w:r>
            <w:r>
              <w:rPr>
                <w:rStyle w:val="Vnculodendice"/>
                <w:vanish w:val="false"/>
              </w:rPr>
              <w:tab/>
              <w:t>35</w:t>
            </w:r>
            <w:r>
              <w:rPr>
                <w:webHidden/>
              </w:rPr>
              <w:fldChar w:fldCharType="end"/>
            </w:r>
          </w:hyperlink>
        </w:p>
        <w:p>
          <w:pPr>
            <w:pStyle w:val="Sumrio1"/>
            <w:rPr>
              <w:rFonts w:ascii="Calibri" w:hAnsi="Calibri" w:eastAsia="" w:asciiTheme="minorHAnsi" w:eastAsiaTheme="minorEastAsia" w:hAnsiTheme="minorHAnsi"/>
              <w:b w:val="false"/>
              <w:b w:val="false"/>
              <w:kern w:val="2"/>
              <w:sz w:val="22"/>
              <w:lang w:eastAsia="pt-BR"/>
              <w14:ligatures w14:val="standardContextual"/>
            </w:rPr>
          </w:pPr>
          <w:hyperlink w:anchor="_Toc153611168">
            <w:r>
              <w:rPr>
                <w:webHidden/>
                <w:rStyle w:val="Vnculodendice"/>
              </w:rPr>
              <w:t>4 RESULTADOS E DISCUSSÕES</w:t>
            </w:r>
            <w:r>
              <w:rPr>
                <w:webHidden/>
              </w:rPr>
              <w:fldChar w:fldCharType="begin"/>
            </w:r>
            <w:r>
              <w:rPr>
                <w:webHidden/>
              </w:rPr>
              <w:instrText>PAGEREF _Toc153611168 \h</w:instrText>
            </w:r>
            <w:r>
              <w:rPr>
                <w:webHidden/>
              </w:rPr>
              <w:fldChar w:fldCharType="separate"/>
            </w:r>
            <w:r>
              <w:rPr>
                <w:rStyle w:val="Vnculodendice"/>
                <w:vanish w:val="false"/>
              </w:rPr>
              <w:tab/>
              <w:t>40</w:t>
            </w:r>
            <w:r>
              <w:rPr>
                <w:webHidden/>
              </w:rPr>
              <w:fldChar w:fldCharType="end"/>
            </w:r>
          </w:hyperlink>
        </w:p>
        <w:p>
          <w:pPr>
            <w:pStyle w:val="Sumrio2"/>
            <w:tabs>
              <w:tab w:val="clear" w:pos="708"/>
              <w:tab w:val="right" w:pos="9061" w:leader="dot"/>
            </w:tabs>
            <w:rPr>
              <w:rFonts w:ascii="Calibri" w:hAnsi="Calibri" w:eastAsia="" w:asciiTheme="minorHAnsi" w:eastAsiaTheme="minorEastAsia" w:hAnsiTheme="minorHAnsi"/>
              <w:b w:val="false"/>
              <w:b w:val="false"/>
              <w:kern w:val="2"/>
              <w:sz w:val="22"/>
              <w:lang w:eastAsia="pt-BR"/>
              <w14:ligatures w14:val="standardContextual"/>
            </w:rPr>
          </w:pPr>
          <w:hyperlink w:anchor="_Toc153611169">
            <w:r>
              <w:rPr>
                <w:webHidden/>
                <w:rStyle w:val="Vnculodendice"/>
              </w:rPr>
              <w:t>4.1 CARACTERIZAÇÃO DAS OBRAS E DAS CONSTRUTORAS</w:t>
            </w:r>
            <w:r>
              <w:rPr>
                <w:webHidden/>
              </w:rPr>
              <w:fldChar w:fldCharType="begin"/>
            </w:r>
            <w:r>
              <w:rPr>
                <w:webHidden/>
              </w:rPr>
              <w:instrText>PAGEREF _Toc153611169 \h</w:instrText>
            </w:r>
            <w:r>
              <w:rPr>
                <w:webHidden/>
              </w:rPr>
              <w:fldChar w:fldCharType="separate"/>
            </w:r>
            <w:r>
              <w:rPr>
                <w:rStyle w:val="Vnculodendice"/>
                <w:vanish w:val="false"/>
              </w:rPr>
              <w:tab/>
              <w:t>40</w:t>
            </w:r>
            <w:r>
              <w:rPr>
                <w:webHidden/>
              </w:rPr>
              <w:fldChar w:fldCharType="end"/>
            </w:r>
          </w:hyperlink>
        </w:p>
        <w:p>
          <w:pPr>
            <w:pStyle w:val="Sumrio2"/>
            <w:tabs>
              <w:tab w:val="clear" w:pos="708"/>
              <w:tab w:val="right" w:pos="9061" w:leader="dot"/>
            </w:tabs>
            <w:rPr>
              <w:rFonts w:ascii="Calibri" w:hAnsi="Calibri" w:eastAsia="" w:asciiTheme="minorHAnsi" w:eastAsiaTheme="minorEastAsia" w:hAnsiTheme="minorHAnsi"/>
              <w:b w:val="false"/>
              <w:b w:val="false"/>
              <w:kern w:val="2"/>
              <w:sz w:val="22"/>
              <w:lang w:eastAsia="pt-BR"/>
              <w14:ligatures w14:val="standardContextual"/>
            </w:rPr>
          </w:pPr>
          <w:hyperlink w:anchor="_Toc153611170">
            <w:r>
              <w:rPr>
                <w:webHidden/>
                <w:rStyle w:val="Vnculodendice"/>
              </w:rPr>
              <w:t>4.2 ANÁLISE DO CUMPRIMENTO DA NR-18</w:t>
            </w:r>
            <w:r>
              <w:rPr>
                <w:webHidden/>
              </w:rPr>
              <w:fldChar w:fldCharType="begin"/>
            </w:r>
            <w:r>
              <w:rPr>
                <w:webHidden/>
              </w:rPr>
              <w:instrText>PAGEREF _Toc153611170 \h</w:instrText>
            </w:r>
            <w:r>
              <w:rPr>
                <w:webHidden/>
              </w:rPr>
              <w:fldChar w:fldCharType="separate"/>
            </w:r>
            <w:r>
              <w:rPr>
                <w:rStyle w:val="Vnculodendice"/>
                <w:vanish w:val="false"/>
              </w:rPr>
              <w:tab/>
              <w:t>41</w:t>
            </w:r>
            <w:r>
              <w:rPr>
                <w:webHidden/>
              </w:rPr>
              <w:fldChar w:fldCharType="end"/>
            </w:r>
          </w:hyperlink>
        </w:p>
        <w:p>
          <w:pPr>
            <w:pStyle w:val="Sumrio3"/>
            <w:tabs>
              <w:tab w:val="clear" w:pos="708"/>
              <w:tab w:val="right" w:pos="9061" w:leader="dot"/>
            </w:tabs>
            <w:rPr>
              <w:rFonts w:ascii="Calibri" w:hAnsi="Calibri" w:eastAsia="" w:asciiTheme="minorHAnsi" w:eastAsiaTheme="minorEastAsia" w:hAnsiTheme="minorHAnsi"/>
              <w:kern w:val="2"/>
              <w:sz w:val="22"/>
              <w:lang w:eastAsia="pt-BR"/>
              <w14:ligatures w14:val="standardContextual"/>
            </w:rPr>
          </w:pPr>
          <w:hyperlink w:anchor="_Toc153611171">
            <w:r>
              <w:rPr>
                <w:webHidden/>
                <w:rStyle w:val="Vnculodendice"/>
              </w:rPr>
              <w:t>4.2.1 Obra A</w:t>
            </w:r>
            <w:r>
              <w:rPr>
                <w:webHidden/>
              </w:rPr>
              <w:fldChar w:fldCharType="begin"/>
            </w:r>
            <w:r>
              <w:rPr>
                <w:webHidden/>
              </w:rPr>
              <w:instrText>PAGEREF _Toc153611171 \h</w:instrText>
            </w:r>
            <w:r>
              <w:rPr>
                <w:webHidden/>
              </w:rPr>
              <w:fldChar w:fldCharType="separate"/>
            </w:r>
            <w:r>
              <w:rPr>
                <w:rStyle w:val="Vnculodendice"/>
                <w:vanish w:val="false"/>
              </w:rPr>
              <w:tab/>
              <w:t>42</w:t>
            </w:r>
            <w:r>
              <w:rPr>
                <w:webHidden/>
              </w:rPr>
              <w:fldChar w:fldCharType="end"/>
            </w:r>
          </w:hyperlink>
        </w:p>
        <w:p>
          <w:pPr>
            <w:pStyle w:val="Sumrio3"/>
            <w:tabs>
              <w:tab w:val="clear" w:pos="708"/>
              <w:tab w:val="right" w:pos="9061" w:leader="dot"/>
            </w:tabs>
            <w:rPr>
              <w:rFonts w:ascii="Calibri" w:hAnsi="Calibri" w:eastAsia="" w:asciiTheme="minorHAnsi" w:eastAsiaTheme="minorEastAsia" w:hAnsiTheme="minorHAnsi"/>
              <w:kern w:val="2"/>
              <w:sz w:val="22"/>
              <w:lang w:eastAsia="pt-BR"/>
              <w14:ligatures w14:val="standardContextual"/>
            </w:rPr>
          </w:pPr>
          <w:hyperlink w:anchor="_Toc153611172">
            <w:r>
              <w:rPr>
                <w:webHidden/>
                <w:rStyle w:val="Vnculodendice"/>
              </w:rPr>
              <w:t>4.2.2 Obra B</w:t>
            </w:r>
            <w:r>
              <w:rPr>
                <w:webHidden/>
              </w:rPr>
              <w:fldChar w:fldCharType="begin"/>
            </w:r>
            <w:r>
              <w:rPr>
                <w:webHidden/>
              </w:rPr>
              <w:instrText>PAGEREF _Toc153611172 \h</w:instrText>
            </w:r>
            <w:r>
              <w:rPr>
                <w:webHidden/>
              </w:rPr>
              <w:fldChar w:fldCharType="separate"/>
            </w:r>
            <w:r>
              <w:rPr>
                <w:rStyle w:val="Vnculodendice"/>
                <w:vanish w:val="false"/>
              </w:rPr>
              <w:tab/>
              <w:t>55</w:t>
            </w:r>
            <w:r>
              <w:rPr>
                <w:webHidden/>
              </w:rPr>
              <w:fldChar w:fldCharType="end"/>
            </w:r>
          </w:hyperlink>
        </w:p>
        <w:p>
          <w:pPr>
            <w:pStyle w:val="Sumrio3"/>
            <w:tabs>
              <w:tab w:val="clear" w:pos="708"/>
              <w:tab w:val="right" w:pos="9061" w:leader="dot"/>
            </w:tabs>
            <w:rPr>
              <w:rFonts w:ascii="Calibri" w:hAnsi="Calibri" w:eastAsia="" w:asciiTheme="minorHAnsi" w:eastAsiaTheme="minorEastAsia" w:hAnsiTheme="minorHAnsi"/>
              <w:kern w:val="2"/>
              <w:sz w:val="22"/>
              <w:lang w:eastAsia="pt-BR"/>
              <w14:ligatures w14:val="standardContextual"/>
            </w:rPr>
          </w:pPr>
          <w:hyperlink w:anchor="_Toc153611173">
            <w:r>
              <w:rPr>
                <w:webHidden/>
                <w:rStyle w:val="Vnculodendice"/>
              </w:rPr>
              <w:t>4.2.3 Obra C</w:t>
            </w:r>
            <w:r>
              <w:rPr>
                <w:webHidden/>
              </w:rPr>
              <w:fldChar w:fldCharType="begin"/>
            </w:r>
            <w:r>
              <w:rPr>
                <w:webHidden/>
              </w:rPr>
              <w:instrText>PAGEREF _Toc153611173 \h</w:instrText>
            </w:r>
            <w:r>
              <w:rPr>
                <w:webHidden/>
              </w:rPr>
              <w:fldChar w:fldCharType="separate"/>
            </w:r>
            <w:r>
              <w:rPr>
                <w:rStyle w:val="Vnculodendice"/>
                <w:vanish w:val="false"/>
              </w:rPr>
              <w:tab/>
              <w:t>70</w:t>
            </w:r>
            <w:r>
              <w:rPr>
                <w:webHidden/>
              </w:rPr>
              <w:fldChar w:fldCharType="end"/>
            </w:r>
          </w:hyperlink>
        </w:p>
        <w:p>
          <w:pPr>
            <w:pStyle w:val="Sumrio3"/>
            <w:tabs>
              <w:tab w:val="clear" w:pos="708"/>
              <w:tab w:val="right" w:pos="9061" w:leader="dot"/>
            </w:tabs>
            <w:rPr>
              <w:rFonts w:ascii="Calibri" w:hAnsi="Calibri" w:eastAsia="" w:asciiTheme="minorHAnsi" w:eastAsiaTheme="minorEastAsia" w:hAnsiTheme="minorHAnsi"/>
              <w:kern w:val="2"/>
              <w:sz w:val="22"/>
              <w:lang w:eastAsia="pt-BR"/>
              <w14:ligatures w14:val="standardContextual"/>
            </w:rPr>
          </w:pPr>
          <w:hyperlink w:anchor="_Toc153611174">
            <w:r>
              <w:rPr>
                <w:webHidden/>
                <w:rStyle w:val="Vnculodendice"/>
              </w:rPr>
              <w:t>4.2.4 Obra D</w:t>
            </w:r>
            <w:r>
              <w:rPr>
                <w:webHidden/>
              </w:rPr>
              <w:fldChar w:fldCharType="begin"/>
            </w:r>
            <w:r>
              <w:rPr>
                <w:webHidden/>
              </w:rPr>
              <w:instrText>PAGEREF _Toc153611174 \h</w:instrText>
            </w:r>
            <w:r>
              <w:rPr>
                <w:webHidden/>
              </w:rPr>
              <w:fldChar w:fldCharType="separate"/>
            </w:r>
            <w:r>
              <w:rPr>
                <w:rStyle w:val="Vnculodendice"/>
                <w:vanish w:val="false"/>
              </w:rPr>
              <w:tab/>
              <w:t>81</w:t>
            </w:r>
            <w:r>
              <w:rPr>
                <w:webHidden/>
              </w:rPr>
              <w:fldChar w:fldCharType="end"/>
            </w:r>
          </w:hyperlink>
        </w:p>
        <w:p>
          <w:pPr>
            <w:pStyle w:val="Sumrio3"/>
            <w:tabs>
              <w:tab w:val="clear" w:pos="708"/>
              <w:tab w:val="right" w:pos="9061" w:leader="dot"/>
            </w:tabs>
            <w:rPr>
              <w:rFonts w:ascii="Calibri" w:hAnsi="Calibri" w:eastAsia="" w:asciiTheme="minorHAnsi" w:eastAsiaTheme="minorEastAsia" w:hAnsiTheme="minorHAnsi"/>
              <w:kern w:val="2"/>
              <w:sz w:val="22"/>
              <w:lang w:eastAsia="pt-BR"/>
              <w14:ligatures w14:val="standardContextual"/>
            </w:rPr>
          </w:pPr>
          <w:hyperlink w:anchor="_Toc153611175">
            <w:r>
              <w:rPr>
                <w:webHidden/>
                <w:rStyle w:val="Vnculodendice"/>
              </w:rPr>
              <w:t>4.2.5 Obra E</w:t>
            </w:r>
            <w:r>
              <w:rPr>
                <w:webHidden/>
              </w:rPr>
              <w:fldChar w:fldCharType="begin"/>
            </w:r>
            <w:r>
              <w:rPr>
                <w:webHidden/>
              </w:rPr>
              <w:instrText>PAGEREF _Toc153611175 \h</w:instrText>
            </w:r>
            <w:r>
              <w:rPr>
                <w:webHidden/>
              </w:rPr>
              <w:fldChar w:fldCharType="separate"/>
            </w:r>
            <w:r>
              <w:rPr>
                <w:rStyle w:val="Vnculodendice"/>
                <w:vanish w:val="false"/>
              </w:rPr>
              <w:tab/>
              <w:t>94</w:t>
            </w:r>
            <w:r>
              <w:rPr>
                <w:webHidden/>
              </w:rPr>
              <w:fldChar w:fldCharType="end"/>
            </w:r>
          </w:hyperlink>
        </w:p>
        <w:p>
          <w:pPr>
            <w:pStyle w:val="Sumrio2"/>
            <w:tabs>
              <w:tab w:val="clear" w:pos="708"/>
              <w:tab w:val="right" w:pos="9061" w:leader="dot"/>
            </w:tabs>
            <w:rPr>
              <w:rFonts w:ascii="Calibri" w:hAnsi="Calibri" w:eastAsia="" w:asciiTheme="minorHAnsi" w:eastAsiaTheme="minorEastAsia" w:hAnsiTheme="minorHAnsi"/>
              <w:b w:val="false"/>
              <w:b w:val="false"/>
              <w:kern w:val="2"/>
              <w:sz w:val="22"/>
              <w:lang w:eastAsia="pt-BR"/>
              <w14:ligatures w14:val="standardContextual"/>
            </w:rPr>
          </w:pPr>
          <w:hyperlink w:anchor="_Toc153611176">
            <w:r>
              <w:rPr>
                <w:webHidden/>
                <w:rStyle w:val="Vnculodendice"/>
              </w:rPr>
              <w:t>4.3 COMPARATIVO DO CUMPRIMENTO DA NR-18</w:t>
            </w:r>
            <w:r>
              <w:rPr>
                <w:webHidden/>
              </w:rPr>
              <w:fldChar w:fldCharType="begin"/>
            </w:r>
            <w:r>
              <w:rPr>
                <w:webHidden/>
              </w:rPr>
              <w:instrText>PAGEREF _Toc153611176 \h</w:instrText>
            </w:r>
            <w:r>
              <w:rPr>
                <w:webHidden/>
              </w:rPr>
              <w:fldChar w:fldCharType="separate"/>
            </w:r>
            <w:r>
              <w:rPr>
                <w:rStyle w:val="Vnculodendice"/>
                <w:vanish w:val="false"/>
              </w:rPr>
              <w:tab/>
              <w:t>105</w:t>
            </w:r>
            <w:r>
              <w:rPr>
                <w:webHidden/>
              </w:rPr>
              <w:fldChar w:fldCharType="end"/>
            </w:r>
          </w:hyperlink>
        </w:p>
        <w:p>
          <w:pPr>
            <w:pStyle w:val="Sumrio1"/>
            <w:rPr>
              <w:rFonts w:ascii="Calibri" w:hAnsi="Calibri" w:eastAsia="" w:asciiTheme="minorHAnsi" w:eastAsiaTheme="minorEastAsia" w:hAnsiTheme="minorHAnsi"/>
              <w:b w:val="false"/>
              <w:b w:val="false"/>
              <w:kern w:val="2"/>
              <w:sz w:val="22"/>
              <w:lang w:eastAsia="pt-BR"/>
              <w14:ligatures w14:val="standardContextual"/>
            </w:rPr>
          </w:pPr>
          <w:hyperlink w:anchor="_Toc153611177">
            <w:r>
              <w:rPr>
                <w:webHidden/>
                <w:rStyle w:val="Vnculodendice"/>
              </w:rPr>
              <w:t>5 CONCLUSÃO</w:t>
            </w:r>
            <w:r>
              <w:rPr>
                <w:webHidden/>
              </w:rPr>
              <w:fldChar w:fldCharType="begin"/>
            </w:r>
            <w:r>
              <w:rPr>
                <w:webHidden/>
              </w:rPr>
              <w:instrText>PAGEREF _Toc153611177 \h</w:instrText>
            </w:r>
            <w:r>
              <w:rPr>
                <w:webHidden/>
              </w:rPr>
              <w:fldChar w:fldCharType="separate"/>
            </w:r>
            <w:r>
              <w:rPr>
                <w:rStyle w:val="Vnculodendice"/>
                <w:vanish w:val="false"/>
              </w:rPr>
              <w:tab/>
              <w:t>108</w:t>
            </w:r>
            <w:r>
              <w:rPr>
                <w:webHidden/>
              </w:rPr>
              <w:fldChar w:fldCharType="end"/>
            </w:r>
          </w:hyperlink>
        </w:p>
        <w:p>
          <w:pPr>
            <w:pStyle w:val="Sumrio1"/>
            <w:rPr>
              <w:rFonts w:ascii="Calibri" w:hAnsi="Calibri" w:eastAsia="" w:asciiTheme="minorHAnsi" w:eastAsiaTheme="minorEastAsia" w:hAnsiTheme="minorHAnsi"/>
              <w:b w:val="false"/>
              <w:b w:val="false"/>
              <w:kern w:val="2"/>
              <w:sz w:val="22"/>
              <w:lang w:eastAsia="pt-BR"/>
              <w14:ligatures w14:val="standardContextual"/>
            </w:rPr>
          </w:pPr>
          <w:hyperlink w:anchor="_Toc153611178">
            <w:r>
              <w:rPr>
                <w:webHidden/>
                <w:rStyle w:val="Vnculodendice"/>
              </w:rPr>
              <w:t>6. SUGESTÃO PARA TRABALHOS FUTUROS</w:t>
            </w:r>
            <w:r>
              <w:rPr>
                <w:webHidden/>
              </w:rPr>
              <w:fldChar w:fldCharType="begin"/>
            </w:r>
            <w:r>
              <w:rPr>
                <w:webHidden/>
              </w:rPr>
              <w:instrText>PAGEREF _Toc153611178 \h</w:instrText>
            </w:r>
            <w:r>
              <w:rPr>
                <w:webHidden/>
              </w:rPr>
              <w:fldChar w:fldCharType="separate"/>
            </w:r>
            <w:r>
              <w:rPr>
                <w:rStyle w:val="Vnculodendice"/>
                <w:vanish w:val="false"/>
              </w:rPr>
              <w:tab/>
              <w:t>110</w:t>
            </w:r>
            <w:r>
              <w:rPr>
                <w:webHidden/>
              </w:rPr>
              <w:fldChar w:fldCharType="end"/>
            </w:r>
          </w:hyperlink>
        </w:p>
        <w:p>
          <w:pPr>
            <w:sectPr>
              <w:headerReference w:type="default" r:id="rId8"/>
              <w:type w:val="nextPage"/>
              <w:pgSz w:w="11906" w:h="16838"/>
              <w:pgMar w:left="1701" w:right="1134" w:header="709" w:top="1701" w:footer="0" w:bottom="1134" w:gutter="0"/>
              <w:pgNumType w:fmt="decimal"/>
              <w:formProt w:val="false"/>
              <w:textDirection w:val="lrTb"/>
              <w:docGrid w:type="default" w:linePitch="360" w:charSpace="0"/>
            </w:sectPr>
            <w:pStyle w:val="Sumrio1"/>
            <w:rPr>
              <w:rFonts w:ascii="Calibri" w:hAnsi="Calibri" w:eastAsia="" w:asciiTheme="minorHAnsi" w:eastAsiaTheme="minorEastAsia" w:hAnsiTheme="minorHAnsi"/>
              <w:b w:val="false"/>
              <w:b w:val="false"/>
              <w:kern w:val="2"/>
              <w:sz w:val="22"/>
              <w:lang w:eastAsia="pt-BR"/>
              <w14:ligatures w14:val="standardContextual"/>
            </w:rPr>
          </w:pPr>
          <w:hyperlink w:anchor="_Toc153611179">
            <w:r>
              <w:rPr>
                <w:webHidden/>
                <w:rStyle w:val="Vnculodendice"/>
              </w:rPr>
              <w:t>REFERÊNCIAS</w:t>
            </w:r>
            <w:r>
              <w:rPr>
                <w:webHidden/>
              </w:rPr>
              <w:fldChar w:fldCharType="begin"/>
            </w:r>
            <w:r>
              <w:rPr>
                <w:webHidden/>
              </w:rPr>
              <w:instrText>PAGEREF _Toc153611179 \h</w:instrText>
            </w:r>
            <w:r>
              <w:rPr>
                <w:webHidden/>
              </w:rPr>
              <w:fldChar w:fldCharType="separate"/>
            </w:r>
            <w:r>
              <w:rPr>
                <w:rStyle w:val="Vnculodendice"/>
                <w:vanish w:val="false"/>
              </w:rPr>
              <w:tab/>
              <w:t>111</w:t>
            </w:r>
            <w:r>
              <w:rPr>
                <w:webHidden/>
              </w:rPr>
              <w:fldChar w:fldCharType="end"/>
            </w:r>
          </w:hyperlink>
        </w:p>
        <w:p>
          <w:pPr>
            <w:pStyle w:val="Ttulo1"/>
            <w:spacing w:before="0" w:after="240"/>
            <w:rPr>
              <w:rFonts w:cs="Arial"/>
              <w:szCs w:val="24"/>
            </w:rPr>
          </w:pPr>
          <w:bookmarkStart w:id="6" w:name="_Toc153611144"/>
          <w:bookmarkStart w:id="7" w:name="_Toc136701942"/>
          <w:r>
            <w:rPr/>
            <w:t>1 INTRODUÇÃO</w:t>
          </w:r>
          <w:r>
            <w:rPr/>
            <w:fldChar w:fldCharType="end"/>
          </w:r>
          <w:bookmarkEnd w:id="6"/>
          <w:bookmarkEnd w:id="7"/>
        </w:p>
      </w:sdtContent>
    </w:sdt>
    <w:p>
      <w:pPr>
        <w:pStyle w:val="ListParagraph"/>
        <w:spacing w:lineRule="auto" w:line="360" w:before="0" w:after="0"/>
        <w:ind w:firstLine="709"/>
        <w:contextualSpacing/>
        <w:rPr/>
      </w:pPr>
      <w:r>
        <w:rPr/>
        <w:t>É difícil abordar a questão da saúde no trabalho sem considerar a importância de realizar atividades de forma segura, garantindo a proteção dos trabalhadores contra danos e promovendo sua qualidade de vida. A saúde, segurança e qualidade de vida são fatores cruciais para qualquer indivíduo, inclusive dentro do ambiente de trabalho.</w:t>
      </w:r>
    </w:p>
    <w:p>
      <w:pPr>
        <w:pStyle w:val="ListParagraph"/>
        <w:rPr/>
      </w:pPr>
      <w:r>
        <w:rPr/>
        <w:t>Nesse sentido, o Ministério do Trabalho e Emprego (MTE) estabelece leis específicas e diversas normas para proteger os trabalhadores durante suas atividades laborais. Entre elas, destacam-se as normas regulamentadoras (NRs), criadas com o propósito de prevenir acidentes, garantir a segurança e promover a saúde dos trabalhadores durante a execução de suas tarefas (Ministério do Trabalho e Emprego, 2023).</w:t>
      </w:r>
    </w:p>
    <w:p>
      <w:pPr>
        <w:pStyle w:val="ListParagraph"/>
        <w:rPr/>
      </w:pPr>
      <w:r>
        <w:rPr/>
        <w:t>A Norma Regulamentadora que abrange as condições e o meio ambiente de trabalho na indústria da construção é a Norma Regulamentadora de número 18 (NR-18). A NR-18 teve atualização em 2021 e tem como foco principal a segurança e saúde no trabalho na indústria da construção. Seu objetivo fundamental é estabelecer diretrizes administrativas, de planejamento e organização que propõem medidas preventivas de controle de segurança nos processos, condições e ambiente de trabalho no setor da construção (Brasil, 2021).</w:t>
      </w:r>
    </w:p>
    <w:p>
      <w:pPr>
        <w:pStyle w:val="ListParagraph"/>
        <w:rPr/>
      </w:pPr>
      <w:r>
        <w:rPr/>
        <w:t xml:space="preserve">A NR-18 abrange uma variedade de questões relevantes relacionadas à organização do trabalho na construção civil. Dentre os tópicos importantes, destacam-se: segurança nos canteiros de obra, áreas de vivência, estruturas provisórias, escavações e fundações, instalações elétricas, máquinas e equipamentos, transporte de materiais e pessoas, além de andaimes, plataformas de trabalho e sinalização de segurança, entre outros. Ademais, inclui-se a elaboração de programas abrangentes de prevenção de riscos ocupacionais, garantindo a implementação de medidas eficazes para reduzir a exposição dos trabalhadores a agentes nocivos. </w:t>
      </w:r>
    </w:p>
    <w:p>
      <w:pPr>
        <w:pStyle w:val="ListParagraph"/>
        <w:rPr/>
      </w:pPr>
      <w:r>
        <w:rPr/>
        <w:t xml:space="preserve">Além disso, é enfatizada a importância da definição clara das responsabilidades de cada parte envolvida, assegurando a adequada distribuição das obrigações relacionadas à segurança e saúde no ambiente de trabalho. Adicionalmente, exige a capacitação adequada dos trabalhadores, com o intuito de minimizar os acidentes no trabalho. </w:t>
      </w:r>
    </w:p>
    <w:p>
      <w:pPr>
        <w:pStyle w:val="ListParagraph"/>
        <w:rPr/>
      </w:pPr>
      <w:r>
        <w:rPr/>
      </w:r>
    </w:p>
    <w:p>
      <w:pPr>
        <w:pStyle w:val="Ttulo2"/>
        <w:numPr>
          <w:ilvl w:val="1"/>
          <w:numId w:val="2"/>
        </w:numPr>
        <w:rPr/>
      </w:pPr>
      <w:bookmarkStart w:id="8" w:name="_Toc153611145"/>
      <w:bookmarkStart w:id="9" w:name="_Toc136701943"/>
      <w:r>
        <w:rPr/>
        <w:t>JUSTIFICATIVA</w:t>
      </w:r>
      <w:bookmarkEnd w:id="8"/>
      <w:bookmarkEnd w:id="9"/>
      <w:r>
        <w:rPr/>
        <w:t xml:space="preserve"> </w:t>
      </w:r>
    </w:p>
    <w:p>
      <w:pPr>
        <w:pStyle w:val="ListParagraph"/>
        <w:rPr/>
      </w:pPr>
      <w:r>
        <w:rPr/>
        <w:t>Os acidentes no trabalho na indústria da construção civil podem acarretar sérias consequências, tanto para os trabalhadores envolvidos quanto para as empresas e o setor como um todo.</w:t>
      </w:r>
    </w:p>
    <w:p>
      <w:pPr>
        <w:pStyle w:val="ListParagraph"/>
        <w:ind w:firstLine="708"/>
        <w:rPr/>
      </w:pPr>
      <w:r>
        <w:rPr/>
        <w:t>As vítimas de acidentes podem sofrer lesões graves ou até mesmo fatais. Quedas de altura, choques elétricos e outros incidentes são comuns nesse ambiente de trabalho e podem resultar em fraturas, traumatismos cranianos, queimaduras e outras lesões incapacitantes.</w:t>
      </w:r>
    </w:p>
    <w:p>
      <w:pPr>
        <w:pStyle w:val="ListParagraph"/>
        <w:rPr/>
      </w:pPr>
      <w:r>
        <w:rPr/>
        <w:t xml:space="preserve">Os acidentes no trabalho têm implicações significativas para as empresas da construção civil. Vale salientar que os custos associados ao tratamento médico dos trabalhadores feridos, compensações trabalhistas, perda de produtividade e paralisação das obras podem ser extremamente onerosos. Além disso, a reputação da empresa pode ser abalada, resultando em perda de contratos e dificuldades para conquistar novos projetos. A imposição de multas e sanções legais também pode impactar negativamente a saúde financeira e a continuidade dos negócios. </w:t>
      </w:r>
    </w:p>
    <w:p>
      <w:pPr>
        <w:pStyle w:val="ListParagraph"/>
        <w:rPr/>
      </w:pPr>
      <w:r>
        <w:rPr/>
        <w:t>Portanto, investir em medidas de segurança e prevenção de acidentes é fundamental para proteger os trabalhadores, preservar a imagem da empresa e garantir a sustentabilidade do setor da construção civil.</w:t>
      </w:r>
    </w:p>
    <w:p>
      <w:pPr>
        <w:pStyle w:val="ListParagraph"/>
        <w:rPr/>
      </w:pPr>
      <w:r>
        <w:rPr/>
        <w:t>Neste sentido, a aplicação da NR-18 na construção civil mostra-se fundamental para mitigar acidentes por meio da implementação de medidas de controle e segurança no meio ambiente de trabalho.</w:t>
      </w:r>
    </w:p>
    <w:p>
      <w:pPr>
        <w:pStyle w:val="Ttulo2"/>
        <w:rPr/>
      </w:pPr>
      <w:bookmarkStart w:id="10" w:name="_Toc153611146"/>
      <w:bookmarkStart w:id="11" w:name="_Toc136701944"/>
      <w:r>
        <w:rPr/>
        <w:t>1.2 OBJETIVOS</w:t>
      </w:r>
      <w:bookmarkEnd w:id="10"/>
      <w:bookmarkEnd w:id="11"/>
    </w:p>
    <w:p>
      <w:pPr>
        <w:pStyle w:val="ListParagraph"/>
        <w:rPr/>
      </w:pPr>
      <w:r>
        <w:rPr/>
        <w:t xml:space="preserve">Neste item será apresentado o objetivo central do trabalho, bem como os objetivos específicos que se pretende alcançar ao final da pesquisa. </w:t>
      </w:r>
    </w:p>
    <w:p>
      <w:pPr>
        <w:pStyle w:val="Ttulo3"/>
        <w:rPr/>
      </w:pPr>
      <w:bookmarkStart w:id="12" w:name="_Toc153611147"/>
      <w:bookmarkStart w:id="13" w:name="_Toc136701945"/>
      <w:r>
        <w:rPr/>
        <w:t>1.2.1 Objetivo Geral</w:t>
      </w:r>
      <w:bookmarkEnd w:id="12"/>
      <w:bookmarkEnd w:id="13"/>
    </w:p>
    <w:p>
      <w:pPr>
        <w:pStyle w:val="ListParagraph"/>
        <w:rPr/>
      </w:pPr>
      <w:r>
        <w:rPr/>
        <w:t>O objetivo geral deste trabalho é verificar a aplicabilidade da NR-18 em 05 (cinco) canteiros de obras verticais na cidade de Goiânia, estado de Goiás, Brasil.</w:t>
      </w:r>
    </w:p>
    <w:p>
      <w:pPr>
        <w:pStyle w:val="Ttulo3"/>
        <w:rPr/>
      </w:pPr>
      <w:bookmarkStart w:id="14" w:name="_Toc153611148"/>
      <w:bookmarkStart w:id="15" w:name="_Toc136701946"/>
      <w:r>
        <w:rPr/>
        <w:t>1.2.2 Objetivos Específicos</w:t>
      </w:r>
      <w:bookmarkEnd w:id="14"/>
      <w:bookmarkEnd w:id="15"/>
      <w:r>
        <w:rPr/>
        <w:t xml:space="preserve"> </w:t>
      </w:r>
    </w:p>
    <w:p>
      <w:pPr>
        <w:pStyle w:val="ListParagraph"/>
        <w:rPr/>
      </w:pPr>
      <w:r>
        <w:rPr/>
        <w:t>Em relação aos objetivos específicos destacam-se os seguintes:</w:t>
      </w:r>
    </w:p>
    <w:p>
      <w:pPr>
        <w:pStyle w:val="ListParagraph"/>
        <w:numPr>
          <w:ilvl w:val="0"/>
          <w:numId w:val="1"/>
        </w:numPr>
        <w:rPr/>
      </w:pPr>
      <w:r>
        <w:rPr/>
        <w:t>Analisar a aplicação da NR-18 em 05 (cinco) canteiros de obras na cidade de Goiânia/GO, com o foco nos itens: área de vivência, utilização dos equipamentos de proteção coletivas (EPC), como: passarelas, medidas de prevenção contra queda de altura, andaimes, sinalização de segurança, bem como instalações elétricas, canteiro de obra e capacitação;</w:t>
      </w:r>
    </w:p>
    <w:p>
      <w:pPr>
        <w:pStyle w:val="ListParagraph"/>
        <w:numPr>
          <w:ilvl w:val="0"/>
          <w:numId w:val="1"/>
        </w:numPr>
        <w:rPr/>
      </w:pPr>
      <w:r>
        <w:rPr/>
        <w:t>Verificar a existência e implementação do Programa de Gerenciamento de Risco (PGR) nas obras em estudo;</w:t>
      </w:r>
    </w:p>
    <w:p>
      <w:pPr>
        <w:pStyle w:val="ListParagraph"/>
        <w:numPr>
          <w:ilvl w:val="0"/>
          <w:numId w:val="1"/>
        </w:numPr>
        <w:rPr/>
      </w:pPr>
      <w:r>
        <w:rPr/>
        <w:t>Identificar as principais dificuldades para a implantação e aplicação da NR-18 nos canteiros de obras.</w:t>
      </w:r>
    </w:p>
    <w:p>
      <w:pPr>
        <w:pStyle w:val="Ttulo2"/>
        <w:rPr/>
      </w:pPr>
      <w:bookmarkStart w:id="16" w:name="_Toc153611149"/>
      <w:bookmarkStart w:id="17" w:name="_Toc136701947"/>
      <w:r>
        <w:rPr/>
        <w:t>1.3 ESTRUTURA DO TRABALHO</w:t>
      </w:r>
      <w:bookmarkEnd w:id="16"/>
      <w:bookmarkEnd w:id="17"/>
      <w:r>
        <w:rPr/>
        <w:t xml:space="preserve"> </w:t>
      </w:r>
    </w:p>
    <w:p>
      <w:pPr>
        <w:pStyle w:val="ListParagraph"/>
        <w:rPr/>
      </w:pPr>
      <w:r>
        <w:rPr/>
        <w:t>É apresentado a estruturação do trabalho, a qual compreende os seguintes tópicos:</w:t>
      </w:r>
    </w:p>
    <w:p>
      <w:pPr>
        <w:pStyle w:val="ListParagraph"/>
        <w:rPr/>
      </w:pPr>
      <w:r>
        <w:rPr/>
      </w:r>
    </w:p>
    <w:p>
      <w:pPr>
        <w:pStyle w:val="ListParagraph"/>
        <w:ind w:hanging="0"/>
        <w:rPr/>
      </w:pPr>
      <w:r>
        <w:rPr/>
        <w:t>1. Introdução: Apresenta-se neste capítulo uma breve ponderação acerca da segurança no trabalho, bem como sobre o que dispõe a NR-18. Também são descritas as justificativas de estudar a segurança no trabalho na indústria da construção civil.</w:t>
      </w:r>
    </w:p>
    <w:p>
      <w:pPr>
        <w:pStyle w:val="ListParagraph"/>
        <w:ind w:hanging="0"/>
        <w:rPr/>
      </w:pPr>
      <w:r>
        <w:rPr/>
      </w:r>
    </w:p>
    <w:p>
      <w:pPr>
        <w:pStyle w:val="ListParagraph"/>
        <w:ind w:hanging="0"/>
        <w:rPr/>
      </w:pPr>
      <w:r>
        <w:rPr/>
        <w:t>2. Revisão bibliográfica:</w:t>
      </w:r>
      <w:r>
        <w:rPr>
          <w:b/>
          <w:bCs/>
        </w:rPr>
        <w:t xml:space="preserve"> </w:t>
      </w:r>
      <w:r>
        <w:rPr/>
        <w:t xml:space="preserve">Neste capítulo apresenta-se uma revisão bibliográfica dos principais trabalhos que analisam a segurança do trabalho na indústria da construção civil. Também é revisado sobre alguns tópicos da NR-18, como, áreas de vivência, instalações elétricas, escadas, rampas e passarelas, prevenção contra queda de altura, máquinas, equipamentos e ferramentas, andaimes e plataforma de trabalho, sinalização e segurança e capacitação. </w:t>
      </w:r>
    </w:p>
    <w:p>
      <w:pPr>
        <w:pStyle w:val="ListParagraph"/>
        <w:ind w:hanging="0"/>
        <w:rPr/>
      </w:pPr>
      <w:r>
        <w:rPr/>
      </w:r>
    </w:p>
    <w:p>
      <w:pPr>
        <w:pStyle w:val="ListParagraph"/>
        <w:ind w:hanging="0"/>
        <w:rPr/>
      </w:pPr>
      <w:r>
        <w:rPr/>
        <w:t>3. Metodologia:</w:t>
      </w:r>
      <w:r>
        <w:rPr>
          <w:b/>
          <w:bCs/>
        </w:rPr>
        <w:t xml:space="preserve"> </w:t>
      </w:r>
      <w:r>
        <w:rPr/>
        <w:t>Apresenta-se neste capítulo como será desenvolvido o trabalho e também como será feita análise. Além disso</w:t>
      </w:r>
      <w:r>
        <w:rPr>
          <w:b/>
          <w:bCs/>
        </w:rPr>
        <w:t xml:space="preserve">, </w:t>
      </w:r>
      <w:r>
        <w:rPr/>
        <w:t xml:space="preserve">é ilustrado o </w:t>
      </w:r>
      <w:r>
        <w:rPr>
          <w:i/>
          <w:iCs/>
        </w:rPr>
        <w:t xml:space="preserve">checklist </w:t>
      </w:r>
      <w:r>
        <w:rPr/>
        <w:t xml:space="preserve">em branco de como será realizado a análise </w:t>
      </w:r>
      <w:r>
        <w:rPr>
          <w:i/>
          <w:iCs/>
        </w:rPr>
        <w:t>in loco</w:t>
      </w:r>
      <w:r>
        <w:rPr/>
        <w:t xml:space="preserve"> dos itens nos canteiros de obra. </w:t>
      </w:r>
    </w:p>
    <w:p>
      <w:pPr>
        <w:pStyle w:val="ListParagraph"/>
        <w:ind w:hanging="0"/>
        <w:rPr/>
      </w:pPr>
      <w:r>
        <w:rPr/>
      </w:r>
    </w:p>
    <w:p>
      <w:pPr>
        <w:pStyle w:val="ListParagraph"/>
        <w:ind w:hanging="0"/>
        <w:rPr/>
      </w:pPr>
      <w:r>
        <w:rPr/>
        <w:t xml:space="preserve">4. Resultados e discussão: Neste capítulo é apresentado os resultados encontrados nas cinco obras individualmente, por meio da metodologia estabelecida e logo em seguida o comparativo das obras. </w:t>
      </w:r>
    </w:p>
    <w:p>
      <w:pPr>
        <w:pStyle w:val="ListParagraph"/>
        <w:ind w:hanging="0"/>
        <w:rPr>
          <w:b/>
          <w:b/>
          <w:bCs/>
        </w:rPr>
      </w:pPr>
      <w:r>
        <w:rPr>
          <w:b/>
          <w:bCs/>
        </w:rPr>
      </w:r>
    </w:p>
    <w:p>
      <w:pPr>
        <w:pStyle w:val="ListParagraph"/>
        <w:ind w:hanging="0"/>
        <w:rPr>
          <w:rFonts w:eastAsia="" w:cs="" w:cstheme="majorBidi" w:eastAsiaTheme="majorEastAsia"/>
          <w:b/>
          <w:b/>
          <w:szCs w:val="32"/>
        </w:rPr>
      </w:pPr>
      <w:r>
        <w:rPr/>
        <w:t>5. Conclusão: Apresenta-se, neste capítulo, a conclusão dos resultados encontrados, se os objetivos foram atendidos.</w:t>
      </w:r>
      <w:bookmarkStart w:id="18" w:name="_Toc136701948"/>
      <w:r>
        <w:br w:type="page"/>
      </w:r>
    </w:p>
    <w:p>
      <w:pPr>
        <w:pStyle w:val="Ttulo1"/>
        <w:rPr/>
      </w:pPr>
      <w:bookmarkStart w:id="19" w:name="_Toc153611150"/>
      <w:r>
        <w:rPr/>
        <w:t>2 REVISÃO BIBLIOGRÁFICA</w:t>
      </w:r>
      <w:bookmarkEnd w:id="18"/>
      <w:bookmarkEnd w:id="19"/>
      <w:r>
        <w:rPr/>
        <w:t xml:space="preserve"> </w:t>
      </w:r>
    </w:p>
    <w:p>
      <w:pPr>
        <w:pStyle w:val="ListParagraph"/>
        <w:rPr/>
      </w:pPr>
      <w:r>
        <w:rPr/>
        <w:t>Nessa etapa, realiza-se levantamento bibliográfico a respeito dos seguintes temas centrais ao desenvolvimento do trabalho: segurança do trabalho, acidente do trabalho, normas regulamentadoras e canteiros de obra</w:t>
      </w:r>
      <w:r>
        <w:rPr>
          <w:b/>
          <w:bCs/>
        </w:rPr>
        <w:t>.</w:t>
      </w:r>
      <w:r>
        <w:rPr/>
        <w:t xml:space="preserve"> Cada um dos tópicos abordados é apresentado de forma a permitir a assimilação do tema do trabalho.  </w:t>
      </w:r>
    </w:p>
    <w:p>
      <w:pPr>
        <w:pStyle w:val="Ttulo2"/>
        <w:rPr/>
      </w:pPr>
      <w:bookmarkStart w:id="20" w:name="_Toc153611151"/>
      <w:bookmarkStart w:id="21" w:name="_Toc136701949"/>
      <w:r>
        <w:rPr/>
        <w:t>2.1 SEGURANÇA DO TRABALHO</w:t>
      </w:r>
      <w:bookmarkEnd w:id="20"/>
      <w:bookmarkEnd w:id="21"/>
    </w:p>
    <w:p>
      <w:pPr>
        <w:pStyle w:val="ListParagraph"/>
        <w:rPr/>
      </w:pPr>
      <w:r>
        <w:rPr/>
        <w:t xml:space="preserve">A NR-18 (Brasil, 2021) tem como objetivo assegurar os trabalhadores da construção civil em relação às condições mínimas necessárias de segurança nos canteiros de obra, bem como contribuir com o bem-estar do trabalhador no local de trabalho (Gaia, 2020). </w:t>
      </w:r>
    </w:p>
    <w:p>
      <w:pPr>
        <w:pStyle w:val="ListParagraph"/>
        <w:rPr/>
      </w:pPr>
      <w:r>
        <w:rPr/>
        <w:t xml:space="preserve">Segundo Peixoto (2010), segurança do trabalho pode ser entendida como um conjunto de medidas que buscam a proteção do trabalhador em seu ambiente de trabalho. Diante disso, ao aplicar as medidas de proteção, evidencia-se redução dos acidentes de trabalho e doenças ocupacionais, bem como proteção da integridade e a capacidade de trabalho das pessoas envolvidas. </w:t>
      </w:r>
    </w:p>
    <w:p>
      <w:pPr>
        <w:pStyle w:val="ListParagraph"/>
        <w:rPr/>
      </w:pPr>
      <w:r>
        <w:rPr/>
        <w:t xml:space="preserve">Nesta linha de pensamento, Ferreira e Peixoto (2012) ressaltam que as empresas modernas se utilizam de medidas que visam proteger efetivamente a saúde do trabalhador. Tais medidas reduzem os passivos judiciais e administrativos decorrentes de acidentes e doenças ocupacionais, bem como proporcionam desenvolvimento, satisfação e evolução da empresa. </w:t>
      </w:r>
    </w:p>
    <w:p>
      <w:pPr>
        <w:pStyle w:val="ListParagraph"/>
        <w:rPr/>
      </w:pPr>
      <w:r>
        <w:rPr/>
        <w:t xml:space="preserve">Desta forma, a segurança do trabalho tem por objetivo identificar, avaliar e controlar as situações de riscos, assegurando um ambiente de trabalho mais saudável e seguro para as pessoas (Sant’anna Junior, 2013). Além disso, ressalta-se que a segurança e medicina e do trabalho está relacionada às normas técnicas e regulamentadoras estabelecidas pela legislação, no intuito de proteger a saúde, bem-estar e integridade dos trabalhadores na realização de suas atividades (Urias, 2020). </w:t>
      </w:r>
    </w:p>
    <w:p>
      <w:pPr>
        <w:pStyle w:val="ListParagraph"/>
        <w:rPr>
          <w:i/>
          <w:i/>
          <w:iCs/>
        </w:rPr>
      </w:pPr>
      <w:r>
        <w:rPr/>
        <w:t xml:space="preserve">Neste sentido, de acordo com Zarpelon </w:t>
      </w:r>
      <w:r>
        <w:rPr>
          <w:i/>
          <w:iCs/>
        </w:rPr>
        <w:t xml:space="preserve">et al. </w:t>
      </w:r>
      <w:r>
        <w:rPr/>
        <w:t xml:space="preserve">(2008), quando a NR-18 é aplicada e implementada de maneira eficiente, isso leva a melhorias contínuas nas condições de trabalho e no ambiente da Indústria da Construção. Isso resulta em mudanças positivas que contribuem para a melhoria da qualidade de vida dos trabalhadores nos canteiros de obras, além de reduzir acidentes no trabalho e doenças ocupacionais. </w:t>
      </w:r>
    </w:p>
    <w:p>
      <w:pPr>
        <w:pStyle w:val="Ttulo2"/>
        <w:rPr/>
      </w:pPr>
      <w:bookmarkStart w:id="22" w:name="_Toc153611152"/>
      <w:bookmarkStart w:id="23" w:name="_Toc136701950"/>
      <w:r>
        <w:rPr/>
        <w:t>2.2 ACIDENTE DE TRABALHO NA CONSTRUÇÃO CIVIL</w:t>
      </w:r>
      <w:bookmarkEnd w:id="22"/>
      <w:bookmarkEnd w:id="23"/>
      <w:r>
        <w:rPr/>
        <w:t xml:space="preserve"> </w:t>
      </w:r>
    </w:p>
    <w:p>
      <w:pPr>
        <w:pStyle w:val="Ttulo3"/>
        <w:rPr/>
      </w:pPr>
      <w:bookmarkStart w:id="24" w:name="_Toc153611153"/>
      <w:bookmarkStart w:id="25" w:name="_Toc136701951"/>
      <w:r>
        <w:rPr/>
        <w:t>2.2.1 Construção civil</w:t>
      </w:r>
      <w:bookmarkEnd w:id="24"/>
      <w:bookmarkEnd w:id="25"/>
      <w:r>
        <w:rPr/>
        <w:t xml:space="preserve"> </w:t>
      </w:r>
    </w:p>
    <w:p>
      <w:pPr>
        <w:pStyle w:val="ListParagraph"/>
        <w:rPr/>
      </w:pPr>
      <w:r>
        <w:rPr/>
        <w:t xml:space="preserve">Segundo a Confederação Nacional da Indústria (2017), o setor da construção civil, também conhecido como indústria da construção civil, abrange uma cadeia produtiva complexa e diversificada, que inclui os segmentos de extração, suprimentos, comércio e serviços e construção. Neste sentido, o setor de construção civil é composto por incorporadoras, construtoras e vários segmentos da indústria de materiais e comércio. </w:t>
      </w:r>
    </w:p>
    <w:p>
      <w:pPr>
        <w:pStyle w:val="ListParagraph"/>
        <w:rPr/>
      </w:pPr>
      <w:r>
        <w:rPr/>
        <w:t>Desta forma, a Câmara Brasileira da Indústria da Construção Civil (CBIC) (2022), que representa o setor nacional e internacionalmente, apresenta uma composição da cadeia produtiva da construção civil, (</w:t>
      </w:r>
      <w:r>
        <w:rPr/>
        <w:fldChar w:fldCharType="begin"/>
      </w:r>
      <w:r>
        <w:rPr/>
        <w:instrText> REF _Ref131254117 \h </w:instrText>
      </w:r>
      <w:r>
        <w:rPr/>
        <w:fldChar w:fldCharType="separate"/>
      </w:r>
      <w:r>
        <w:rPr/>
        <w:t>Figura 1</w:t>
      </w:r>
      <w:r>
        <w:rPr/>
        <w:fldChar w:fldCharType="end"/>
      </w:r>
      <w:r>
        <w:rPr/>
        <w:t xml:space="preserve">). </w:t>
      </w:r>
    </w:p>
    <w:p>
      <w:pPr>
        <w:pStyle w:val="EstiloLegenda"/>
        <w:jc w:val="both"/>
        <w:rPr/>
      </w:pPr>
      <w:r>
        <w:rPr/>
      </w:r>
    </w:p>
    <w:p>
      <w:pPr>
        <w:pStyle w:val="EstiloLegenda"/>
        <w:rPr/>
      </w:pPr>
      <w:bookmarkStart w:id="26" w:name="_Toc153611284"/>
      <w:bookmarkStart w:id="27" w:name="_Toc135504444"/>
      <w:bookmarkStart w:id="28" w:name="_Ref131254117"/>
      <w:r>
        <w:rPr/>
        <w:t xml:space="preserve">Figura </w:t>
      </w:r>
      <w:r>
        <w:rPr/>
        <w:fldChar w:fldCharType="begin"/>
      </w:r>
      <w:r>
        <w:rPr/>
        <w:instrText> SEQ Figura \* ARABIC </w:instrText>
      </w:r>
      <w:r>
        <w:rPr/>
        <w:fldChar w:fldCharType="separate"/>
      </w:r>
      <w:r>
        <w:rPr/>
        <w:t>1</w:t>
      </w:r>
      <w:r>
        <w:rPr/>
        <w:fldChar w:fldCharType="end"/>
      </w:r>
      <w:bookmarkEnd w:id="28"/>
      <w:r>
        <w:rPr/>
        <w:t xml:space="preserve"> – Composição da cadeia produtiva da construção em 2021</w:t>
      </w:r>
      <w:bookmarkEnd w:id="27"/>
      <w:r>
        <w:rPr/>
        <w:t>.</w:t>
      </w:r>
      <w:bookmarkEnd w:id="26"/>
    </w:p>
    <w:p>
      <w:pPr>
        <w:pStyle w:val="EstiloLegenda"/>
        <w:rPr/>
      </w:pPr>
      <w:r>
        <w:rPr/>
      </w:r>
    </w:p>
    <w:p>
      <w:pPr>
        <w:pStyle w:val="ListParagraph"/>
        <w:ind w:hanging="0"/>
        <w:jc w:val="center"/>
        <w:rPr/>
      </w:pPr>
      <w:r>
        <w:rPr/>
        <w:drawing>
          <wp:inline distT="0" distB="0" distL="0" distR="0">
            <wp:extent cx="3947160" cy="2409825"/>
            <wp:effectExtent l="0" t="0" r="0" b="0"/>
            <wp:docPr id="8" name="Figura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igura2" descr=""/>
                    <pic:cNvPicPr>
                      <a:picLocks noChangeAspect="1" noChangeArrowheads="1"/>
                    </pic:cNvPicPr>
                  </pic:nvPicPr>
                  <pic:blipFill>
                    <a:blip r:embed="rId9"/>
                    <a:srcRect l="2818" t="0" r="0" b="0"/>
                    <a:stretch>
                      <a:fillRect/>
                    </a:stretch>
                  </pic:blipFill>
                  <pic:spPr bwMode="auto">
                    <a:xfrm>
                      <a:off x="0" y="0"/>
                      <a:ext cx="3947160" cy="2409825"/>
                    </a:xfrm>
                    <a:prstGeom prst="rect">
                      <a:avLst/>
                    </a:prstGeom>
                  </pic:spPr>
                </pic:pic>
              </a:graphicData>
            </a:graphic>
          </wp:inline>
        </w:drawing>
      </w:r>
    </w:p>
    <w:p>
      <w:pPr>
        <w:pStyle w:val="ListParagraph"/>
        <w:ind w:hanging="0"/>
        <w:jc w:val="center"/>
        <w:rPr>
          <w:sz w:val="20"/>
          <w:szCs w:val="20"/>
        </w:rPr>
      </w:pPr>
      <w:r>
        <w:rPr>
          <w:sz w:val="20"/>
          <w:szCs w:val="20"/>
        </w:rPr>
        <w:t>Fonte: CBIC – Banco de dados (CBIC, 2022).</w:t>
      </w:r>
    </w:p>
    <w:p>
      <w:pPr>
        <w:pStyle w:val="ListParagraph"/>
        <w:ind w:hanging="0"/>
        <w:jc w:val="center"/>
        <w:rPr>
          <w:sz w:val="20"/>
          <w:szCs w:val="20"/>
        </w:rPr>
      </w:pPr>
      <w:r>
        <w:rPr>
          <w:sz w:val="20"/>
          <w:szCs w:val="20"/>
        </w:rPr>
      </w:r>
    </w:p>
    <w:p>
      <w:pPr>
        <w:pStyle w:val="ListParagraph"/>
        <w:rPr/>
      </w:pPr>
      <w:r>
        <w:rPr/>
        <w:t xml:space="preserve">Ao analisar a </w:t>
      </w:r>
      <w:r>
        <w:rPr/>
        <w:fldChar w:fldCharType="begin"/>
      </w:r>
      <w:r>
        <w:rPr/>
        <w:instrText> REF _Ref131254117 \h </w:instrText>
      </w:r>
      <w:r>
        <w:rPr/>
        <w:fldChar w:fldCharType="separate"/>
      </w:r>
      <w:r>
        <w:rPr/>
        <w:t>Figura 1</w:t>
      </w:r>
      <w:r>
        <w:rPr/>
        <w:fldChar w:fldCharType="end"/>
      </w:r>
      <w:r>
        <w:rPr/>
        <w:t>, é evidente que a indústria da construção desempenha um papel dominante na composição da cadeia produtiva, contribuindo com a maior parcela (%) para o Produto Interno Bruto (PIB). No ano de 2021, essa indústria representou significativos 43,8% do total da cadeia. Em seguida, aparecem a indústria de materiais, com uma participação de 23,9%, o comércio de materiais, com 17%, os serviços, com 6,5%, outros fornecedores, com 7,0%, e, por fim, as máquinas e equipamentos, com uma modesta participação de apenas 1,8%.</w:t>
      </w:r>
    </w:p>
    <w:p>
      <w:pPr>
        <w:pStyle w:val="Ttulo3"/>
        <w:rPr/>
      </w:pPr>
      <w:bookmarkStart w:id="29" w:name="_Toc153611154"/>
      <w:bookmarkStart w:id="30" w:name="_Toc136701952"/>
      <w:r>
        <w:rPr/>
        <w:t>2.2.2 Acidente de trabalho na construção civil</w:t>
      </w:r>
      <w:bookmarkEnd w:id="29"/>
      <w:bookmarkEnd w:id="30"/>
      <w:r>
        <w:rPr/>
        <w:t xml:space="preserve"> </w:t>
      </w:r>
    </w:p>
    <w:p>
      <w:pPr>
        <w:pStyle w:val="ListParagraph"/>
        <w:rPr/>
      </w:pPr>
      <w:r>
        <w:rPr/>
        <w:t xml:space="preserve">O conceito de acidente de trabalho está definido pela Lei nº 8.213, de 24 de julho de 1991, da Previdência Social, que estabelece, em seu capítulo II, seção I, artigo 19 que: </w:t>
      </w:r>
    </w:p>
    <w:p>
      <w:pPr>
        <w:pStyle w:val="Quote"/>
        <w:rPr>
          <w:rFonts w:cs="Arial"/>
          <w:color w:val="000000"/>
          <w:highlight w:val="white"/>
        </w:rPr>
      </w:pPr>
      <w:r>
        <w:rPr>
          <w:rFonts w:cs="Arial"/>
          <w:color w:val="000000"/>
          <w:shd w:fill="FFFFFF" w:val="clear"/>
        </w:rPr>
        <w:t> </w:t>
      </w:r>
      <w:r>
        <w:rPr>
          <w:rStyle w:val="CitaoChar"/>
        </w:rPr>
        <w:t>Acidente do trabalho é o que ocorre pelo exercício do trabalho a serviço de empresa ou de empregador doméstico ou pelo exercício do trabalho dos segurados referidos no inciso VII do art. 11 desta Lei, provocando lesão corporal ou perturbação funcional que cause a morte</w:t>
      </w:r>
      <w:r>
        <w:rPr>
          <w:rFonts w:cs="Arial"/>
          <w:color w:val="000000"/>
          <w:shd w:fill="FFFFFF" w:val="clear"/>
        </w:rPr>
        <w:t xml:space="preserve"> ou a perda ou redução, permanente ou temporária, da capacidade para o trabalho (Brasil, 1991).   </w:t>
      </w:r>
    </w:p>
    <w:p>
      <w:pPr>
        <w:pStyle w:val="Quote"/>
        <w:rPr/>
      </w:pPr>
      <w:r>
        <w:rPr/>
      </w:r>
    </w:p>
    <w:p>
      <w:pPr>
        <w:pStyle w:val="ListParagraph"/>
        <w:rPr/>
      </w:pPr>
      <w:r>
        <w:rPr/>
        <w:t xml:space="preserve">Neste sentido, o Observatório de Segurança e Saúde no Trabalho (2022b), enfatiza que em 2022, o número de Comunicação de Acidentes de Trabalho (CAT), chegou a um total de 612,9 mil comunicações registradas. Sendo que, estas comunicações são as registradas no banco de dados do Instituto Nacional do Seguro Social (INSS), e referem-se à população com vínculo de emprego regular. </w:t>
      </w:r>
    </w:p>
    <w:p>
      <w:pPr>
        <w:pStyle w:val="ListParagraph"/>
        <w:rPr/>
      </w:pPr>
      <w:r>
        <w:rPr/>
        <w:t xml:space="preserve">Na </w:t>
      </w:r>
      <w:r>
        <w:rPr/>
        <w:fldChar w:fldCharType="begin"/>
      </w:r>
      <w:r>
        <w:rPr/>
        <w:instrText> REF _Ref131761042 \h </w:instrText>
      </w:r>
      <w:r>
        <w:rPr/>
        <w:fldChar w:fldCharType="separate"/>
      </w:r>
      <w:r>
        <w:rPr/>
        <w:t>Figura 2</w:t>
      </w:r>
      <w:r>
        <w:rPr/>
        <w:fldChar w:fldCharType="end"/>
      </w:r>
      <w:r>
        <w:rPr/>
        <w:t xml:space="preserve"> são apresentados os números de acidentes do trabalho notificados para a população com vínculo de emprego regular. Apresenta-se a evolução histórica do número de notificações nos últimos onze anos no Brasil. </w:t>
      </w:r>
    </w:p>
    <w:p>
      <w:pPr>
        <w:pStyle w:val="ListParagraph"/>
        <w:rPr/>
      </w:pPr>
      <w:r>
        <w:rPr/>
      </w:r>
    </w:p>
    <w:p>
      <w:pPr>
        <w:pStyle w:val="EstiloLegenda"/>
        <w:rPr/>
      </w:pPr>
      <w:bookmarkStart w:id="31" w:name="_Toc153611285"/>
      <w:bookmarkStart w:id="32" w:name="_Toc135504445"/>
      <w:bookmarkStart w:id="33" w:name="_Ref131761042"/>
      <w:r>
        <w:rPr/>
        <w:t xml:space="preserve">Figura </w:t>
      </w:r>
      <w:r>
        <w:rPr/>
        <w:fldChar w:fldCharType="begin"/>
      </w:r>
      <w:r>
        <w:rPr/>
        <w:instrText> SEQ Figura \* ARABIC </w:instrText>
      </w:r>
      <w:r>
        <w:rPr/>
        <w:fldChar w:fldCharType="separate"/>
      </w:r>
      <w:r>
        <w:rPr/>
        <w:t>2</w:t>
      </w:r>
      <w:r>
        <w:rPr/>
        <w:fldChar w:fldCharType="end"/>
      </w:r>
      <w:bookmarkEnd w:id="33"/>
      <w:r>
        <w:rPr/>
        <w:t xml:space="preserve"> –</w:t>
      </w:r>
      <w:r>
        <w:rPr>
          <w:b/>
          <w:bCs/>
        </w:rPr>
        <w:t xml:space="preserve"> </w:t>
      </w:r>
      <w:r>
        <w:rPr/>
        <w:t>Série histórica dos acidentes de trabalho</w:t>
      </w:r>
      <w:bookmarkEnd w:id="32"/>
      <w:r>
        <w:rPr/>
        <w:t xml:space="preserve"> no Brasil.</w:t>
      </w:r>
      <w:bookmarkEnd w:id="31"/>
    </w:p>
    <w:p>
      <w:pPr>
        <w:pStyle w:val="ListParagraph"/>
        <w:ind w:hanging="0"/>
        <w:jc w:val="center"/>
        <w:rPr/>
      </w:pPr>
      <w:r>
        <w:rPr/>
        <w:drawing>
          <wp:inline distT="0" distB="0" distL="0" distR="0">
            <wp:extent cx="4506595" cy="2703830"/>
            <wp:effectExtent l="0" t="0" r="0" b="0"/>
            <wp:docPr id="9" name="Imagem 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m 8" descr=""/>
                    <pic:cNvPicPr>
                      <a:picLocks noChangeAspect="1" noChangeArrowheads="1"/>
                    </pic:cNvPicPr>
                  </pic:nvPicPr>
                  <pic:blipFill>
                    <a:blip r:embed="rId10"/>
                    <a:stretch>
                      <a:fillRect/>
                    </a:stretch>
                  </pic:blipFill>
                  <pic:spPr bwMode="auto">
                    <a:xfrm>
                      <a:off x="0" y="0"/>
                      <a:ext cx="4506595" cy="2703830"/>
                    </a:xfrm>
                    <a:prstGeom prst="rect">
                      <a:avLst/>
                    </a:prstGeom>
                  </pic:spPr>
                </pic:pic>
              </a:graphicData>
            </a:graphic>
          </wp:inline>
        </w:drawing>
      </w:r>
    </w:p>
    <w:p>
      <w:pPr>
        <w:pStyle w:val="ListParagraph"/>
        <w:ind w:hanging="0"/>
        <w:jc w:val="center"/>
        <w:rPr>
          <w:sz w:val="20"/>
          <w:szCs w:val="20"/>
        </w:rPr>
      </w:pPr>
      <w:r>
        <w:rPr>
          <w:sz w:val="20"/>
          <w:szCs w:val="20"/>
        </w:rPr>
        <w:t>Fonte: Adaptada de Observatório de Segurança e Saúde no Trabalho (2022b).</w:t>
      </w:r>
    </w:p>
    <w:p>
      <w:pPr>
        <w:pStyle w:val="ListParagraph"/>
        <w:ind w:hanging="0"/>
        <w:jc w:val="center"/>
        <w:rPr>
          <w:sz w:val="20"/>
          <w:szCs w:val="20"/>
        </w:rPr>
      </w:pPr>
      <w:r>
        <w:rPr>
          <w:sz w:val="20"/>
          <w:szCs w:val="20"/>
        </w:rPr>
      </w:r>
    </w:p>
    <w:p>
      <w:pPr>
        <w:pStyle w:val="ListParagraph"/>
        <w:rPr/>
      </w:pPr>
      <w:r>
        <w:rPr/>
        <w:t xml:space="preserve">Ao analisar a </w:t>
      </w:r>
      <w:r>
        <w:rPr/>
        <w:fldChar w:fldCharType="begin"/>
      </w:r>
      <w:r>
        <w:rPr/>
        <w:instrText> REF _Ref131761042 \h </w:instrText>
      </w:r>
      <w:r>
        <w:rPr/>
        <w:fldChar w:fldCharType="separate"/>
      </w:r>
      <w:r>
        <w:rPr/>
        <w:t>Figura 2</w:t>
      </w:r>
      <w:r>
        <w:rPr/>
        <w:fldChar w:fldCharType="end"/>
      </w:r>
      <w:r>
        <w:rPr/>
        <w:t xml:space="preserve">, a qual retrata um panorama abrangente do Brasil, é possível verificar o total de acidentes de trabalho notificados para a população com vínculo de emprego regular. A referida figura ilustra a evolução histórica das notificações durante esse período. Concomitantemente, na </w:t>
      </w:r>
      <w:r>
        <w:rPr/>
        <w:fldChar w:fldCharType="begin"/>
      </w:r>
      <w:r>
        <w:rPr/>
        <w:instrText> REF _Ref131871164 \h </w:instrText>
      </w:r>
      <w:r>
        <w:rPr/>
        <w:fldChar w:fldCharType="separate"/>
      </w:r>
      <w:r>
        <w:rPr/>
        <w:t>Figura 3</w:t>
      </w:r>
      <w:r>
        <w:rPr/>
        <w:fldChar w:fldCharType="end"/>
      </w:r>
      <w:r>
        <w:rPr/>
        <w:t xml:space="preserve">, que apresenta os acidentes de trabalho no setor da construção civil, verifica-se a evolução dos acidentes ocorridos na construção civil nas diversas vertentes, sendo elas: construção de edifícios, obras de infraestruturas e serviços especializados para a construção. </w:t>
      </w:r>
    </w:p>
    <w:p>
      <w:pPr>
        <w:pStyle w:val="ListParagraph"/>
        <w:rPr/>
      </w:pPr>
      <w:r>
        <w:rPr/>
        <w:t xml:space="preserve">Nesse sentido, na </w:t>
      </w:r>
      <w:r>
        <w:rPr/>
        <w:fldChar w:fldCharType="begin"/>
      </w:r>
      <w:r>
        <w:rPr/>
        <w:instrText> REF _Ref131871164 \h </w:instrText>
      </w:r>
      <w:r>
        <w:rPr/>
        <w:fldChar w:fldCharType="separate"/>
      </w:r>
      <w:r>
        <w:rPr/>
        <w:t>Figura 3</w:t>
      </w:r>
      <w:r>
        <w:rPr/>
        <w:fldChar w:fldCharType="end"/>
      </w:r>
      <w:r>
        <w:rPr/>
        <w:t xml:space="preserve"> é possível analisar a quantidade de acidentes de trabalho no setor da construção civil, entre os anos de 2016 e 2021, em diversas categorias desta área, obtidos na base de dados estatísticos de saúde e segurança do trabalhador do Ministério da Previdência Social (2023). </w:t>
      </w:r>
    </w:p>
    <w:p>
      <w:pPr>
        <w:pStyle w:val="Normal"/>
        <w:rPr/>
      </w:pPr>
      <w:r>
        <w:rPr/>
      </w:r>
    </w:p>
    <w:p>
      <w:pPr>
        <w:pStyle w:val="EstiloLegenda"/>
        <w:rPr/>
      </w:pPr>
      <w:bookmarkStart w:id="34" w:name="_Toc153611286"/>
      <w:bookmarkStart w:id="35" w:name="_Toc135504446"/>
      <w:bookmarkStart w:id="36" w:name="_Ref131871164"/>
      <w:r>
        <w:rPr/>
        <w:t xml:space="preserve">Figura </w:t>
      </w:r>
      <w:r>
        <w:rPr/>
        <w:fldChar w:fldCharType="begin"/>
      </w:r>
      <w:r>
        <w:rPr/>
        <w:instrText> SEQ Figura \* ARABIC </w:instrText>
      </w:r>
      <w:r>
        <w:rPr/>
        <w:fldChar w:fldCharType="separate"/>
      </w:r>
      <w:r>
        <w:rPr/>
        <w:t>3</w:t>
      </w:r>
      <w:r>
        <w:rPr/>
        <w:fldChar w:fldCharType="end"/>
      </w:r>
      <w:bookmarkEnd w:id="36"/>
      <w:r>
        <w:rPr/>
        <w:t xml:space="preserve"> – Quantidade de acidentes de trabalho no setor da construção entre 2016 e 2021 no Brasil.</w:t>
      </w:r>
      <w:bookmarkEnd w:id="34"/>
      <w:bookmarkEnd w:id="35"/>
    </w:p>
    <w:p>
      <w:pPr>
        <w:pStyle w:val="EstiloLegenda"/>
        <w:rPr/>
      </w:pPr>
      <w:r>
        <w:rPr/>
      </w:r>
    </w:p>
    <w:p>
      <w:pPr>
        <w:pStyle w:val="ListParagraph"/>
        <w:ind w:hanging="0"/>
        <w:jc w:val="center"/>
        <w:rPr>
          <w:sz w:val="20"/>
          <w:szCs w:val="20"/>
        </w:rPr>
      </w:pPr>
      <w:r>
        <w:rPr/>
        <w:drawing>
          <wp:inline distT="0" distB="0" distL="0" distR="0">
            <wp:extent cx="5658485" cy="3305175"/>
            <wp:effectExtent l="0" t="0" r="0" b="0"/>
            <wp:docPr id="10" name="Imagem 190761449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m 1907614496" descr=""/>
                    <pic:cNvPicPr>
                      <a:picLocks noChangeAspect="1" noChangeArrowheads="1"/>
                    </pic:cNvPicPr>
                  </pic:nvPicPr>
                  <pic:blipFill>
                    <a:blip r:embed="rId11"/>
                    <a:stretch>
                      <a:fillRect/>
                    </a:stretch>
                  </pic:blipFill>
                  <pic:spPr bwMode="auto">
                    <a:xfrm>
                      <a:off x="0" y="0"/>
                      <a:ext cx="5658485" cy="3305175"/>
                    </a:xfrm>
                    <a:prstGeom prst="rect">
                      <a:avLst/>
                    </a:prstGeom>
                  </pic:spPr>
                </pic:pic>
              </a:graphicData>
            </a:graphic>
          </wp:inline>
        </w:drawing>
      </w:r>
    </w:p>
    <w:p>
      <w:pPr>
        <w:pStyle w:val="ListParagraph"/>
        <w:ind w:hanging="0"/>
        <w:jc w:val="center"/>
        <w:rPr>
          <w:sz w:val="20"/>
          <w:szCs w:val="20"/>
        </w:rPr>
      </w:pPr>
      <w:r>
        <w:rPr>
          <w:sz w:val="20"/>
          <w:szCs w:val="20"/>
        </w:rPr>
        <w:t>Fonte: Adaptada do Ministério da Previdência Social (2023).</w:t>
      </w:r>
    </w:p>
    <w:p>
      <w:pPr>
        <w:pStyle w:val="ListParagraph"/>
        <w:rPr/>
      </w:pPr>
      <w:r>
        <w:rPr/>
      </w:r>
    </w:p>
    <w:p>
      <w:pPr>
        <w:pStyle w:val="ListParagraph"/>
        <w:rPr/>
      </w:pPr>
      <w:r>
        <w:rPr/>
        <w:t>Dentro desse contexto, é possível observar que no ano de 2020 houve uma queda significativa no número de acidentes em ambas as categorias: no panorama geral, que abrange a população com vínculo de emprego regular, e também no setor da construção civil. Essa mudança foi influenciada pela implementação de decretos legislativos que levaram à suspensão das atividades econômicas, como resposta à pandemia do novo coronavírus Sars-CoV-2 (COVID-19). Vale destacar que a OMS oficializou a declaração dessa pandemia em 11 de março de 2020 (BBC News Brasil, 2020).</w:t>
      </w:r>
    </w:p>
    <w:p>
      <w:pPr>
        <w:pStyle w:val="ListParagraph"/>
        <w:rPr/>
      </w:pPr>
      <w:r>
        <w:rPr/>
        <w:t xml:space="preserve">Na </w:t>
      </w:r>
      <w:r>
        <w:rPr/>
        <w:fldChar w:fldCharType="begin"/>
      </w:r>
      <w:r>
        <w:rPr/>
        <w:instrText> REF _Ref133603959 \h </w:instrText>
      </w:r>
      <w:r>
        <w:rPr/>
        <w:fldChar w:fldCharType="separate"/>
      </w:r>
      <w:r>
        <w:rPr/>
        <w:t>Figura 4</w:t>
      </w:r>
      <w:r>
        <w:rPr/>
        <w:fldChar w:fldCharType="end"/>
      </w:r>
      <w:r>
        <w:rPr/>
        <w:t xml:space="preserve"> são apresentados os números de acidentes de trabalho com morte, notificados de acordo com os dados Observatório de Segurança e Saúde no Trabalho (2022b), para a população com vínculo de emprego regular. Assim, percebe-se a evolução histórica do número de óbitos resultantes de acidentes de trabalho </w:t>
      </w:r>
      <w:bookmarkStart w:id="37" w:name="_Ref131955939"/>
      <w:r>
        <w:rPr/>
        <w:t>nos últimos onze anos no Brasil, que também apresentou uma queda no ano de 2020 e um aumento progressivo no período posterior.</w:t>
      </w:r>
    </w:p>
    <w:p>
      <w:pPr>
        <w:pStyle w:val="Normal"/>
        <w:rPr/>
      </w:pPr>
      <w:r>
        <w:rPr/>
      </w:r>
    </w:p>
    <w:p>
      <w:pPr>
        <w:pStyle w:val="Normal"/>
        <w:rPr/>
      </w:pPr>
      <w:r>
        <w:rPr/>
      </w:r>
    </w:p>
    <w:p>
      <w:pPr>
        <w:pStyle w:val="EstiloLegenda"/>
        <w:rPr/>
      </w:pPr>
      <w:bookmarkStart w:id="38" w:name="_Toc153611287"/>
      <w:bookmarkStart w:id="39" w:name="_Toc135504447"/>
      <w:bookmarkStart w:id="40" w:name="_Ref133603959"/>
      <w:r>
        <w:rPr/>
        <w:t xml:space="preserve">Figura </w:t>
      </w:r>
      <w:r>
        <w:rPr/>
        <w:fldChar w:fldCharType="begin"/>
      </w:r>
      <w:r>
        <w:rPr/>
        <w:instrText> SEQ Figura \* ARABIC </w:instrText>
      </w:r>
      <w:r>
        <w:rPr/>
        <w:fldChar w:fldCharType="separate"/>
      </w:r>
      <w:r>
        <w:rPr/>
        <w:t>4</w:t>
      </w:r>
      <w:r>
        <w:rPr/>
        <w:fldChar w:fldCharType="end"/>
      </w:r>
      <w:bookmarkEnd w:id="37"/>
      <w:bookmarkEnd w:id="40"/>
      <w:r>
        <w:rPr/>
        <w:t xml:space="preserve"> – Série histórica dos acidentes de trabalho com óbito</w:t>
      </w:r>
      <w:bookmarkEnd w:id="39"/>
      <w:r>
        <w:rPr/>
        <w:t>s no Brasil.</w:t>
      </w:r>
      <w:bookmarkEnd w:id="38"/>
    </w:p>
    <w:p>
      <w:pPr>
        <w:pStyle w:val="ListParagraph"/>
        <w:tabs>
          <w:tab w:val="clear" w:pos="708"/>
          <w:tab w:val="left" w:pos="709" w:leader="none"/>
        </w:tabs>
        <w:ind w:hanging="0"/>
        <w:jc w:val="center"/>
        <w:rPr/>
      </w:pPr>
      <w:r>
        <w:rPr/>
        <w:drawing>
          <wp:inline distT="0" distB="0" distL="0" distR="0">
            <wp:extent cx="5109210" cy="2879725"/>
            <wp:effectExtent l="0" t="0" r="0" b="0"/>
            <wp:docPr id="11" name="Imagem 1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m 11" descr=""/>
                    <pic:cNvPicPr>
                      <a:picLocks noChangeAspect="1" noChangeArrowheads="1"/>
                    </pic:cNvPicPr>
                  </pic:nvPicPr>
                  <pic:blipFill>
                    <a:blip r:embed="rId12"/>
                    <a:stretch>
                      <a:fillRect/>
                    </a:stretch>
                  </pic:blipFill>
                  <pic:spPr bwMode="auto">
                    <a:xfrm>
                      <a:off x="0" y="0"/>
                      <a:ext cx="5109210" cy="2879725"/>
                    </a:xfrm>
                    <a:prstGeom prst="rect">
                      <a:avLst/>
                    </a:prstGeom>
                  </pic:spPr>
                </pic:pic>
              </a:graphicData>
            </a:graphic>
          </wp:inline>
        </w:drawing>
      </w:r>
    </w:p>
    <w:p>
      <w:pPr>
        <w:pStyle w:val="ListParagraph"/>
        <w:ind w:hanging="0"/>
        <w:jc w:val="center"/>
        <w:rPr>
          <w:sz w:val="20"/>
          <w:szCs w:val="20"/>
        </w:rPr>
      </w:pPr>
      <w:r>
        <w:rPr>
          <w:sz w:val="20"/>
          <w:szCs w:val="20"/>
        </w:rPr>
        <w:t>Fonte: Adaptada de Observatório de Segurança e Saúde no Trabalho (2022b).</w:t>
      </w:r>
    </w:p>
    <w:p>
      <w:pPr>
        <w:pStyle w:val="ListParagraph"/>
        <w:tabs>
          <w:tab w:val="clear" w:pos="708"/>
          <w:tab w:val="left" w:pos="709" w:leader="none"/>
        </w:tabs>
        <w:jc w:val="center"/>
        <w:rPr/>
      </w:pPr>
      <w:r>
        <w:rPr/>
      </w:r>
    </w:p>
    <w:p>
      <w:pPr>
        <w:pStyle w:val="ListParagraph"/>
        <w:tabs>
          <w:tab w:val="clear" w:pos="708"/>
          <w:tab w:val="left" w:pos="709" w:leader="none"/>
        </w:tabs>
        <w:rPr/>
      </w:pPr>
      <w:r>
        <w:rPr/>
        <w:t xml:space="preserve">De acordo com Garcia (2022), os acidentes de trabalho geram impactos significativos na saúde e qualidade de vida do trabalhador, bem como nos cofres públicos.  Segundo o Observatório de Segurança e Saúde no Trabalho (2022a), em 2022 foram concedidos 148,8 mil benefícios previdenciários referente a auxílio-doença por acidente do trabalho para a população com vínculo de emprego regular, considerando todos os setores da economia, conforme o Observatório de Segurança e Saúde no Trabalho (2022a). </w:t>
      </w:r>
    </w:p>
    <w:p>
      <w:pPr>
        <w:pStyle w:val="ListParagraph"/>
        <w:tabs>
          <w:tab w:val="clear" w:pos="708"/>
          <w:tab w:val="left" w:pos="709" w:leader="none"/>
        </w:tabs>
        <w:rPr/>
      </w:pPr>
      <w:r>
        <w:rPr/>
        <w:t xml:space="preserve">Desta forma, a </w:t>
      </w:r>
      <w:r>
        <w:rPr/>
        <w:fldChar w:fldCharType="begin"/>
      </w:r>
      <w:r>
        <w:rPr/>
        <w:instrText> REF _Ref133064498 \h </w:instrText>
      </w:r>
      <w:r>
        <w:rPr/>
        <w:fldChar w:fldCharType="separate"/>
      </w:r>
      <w:r>
        <w:rPr/>
        <w:t>Figura 5</w:t>
      </w:r>
      <w:r>
        <w:rPr/>
        <w:fldChar w:fldCharType="end"/>
      </w:r>
      <w:r>
        <w:rPr/>
        <w:t xml:space="preserve"> ilustra a evolução histórica do número de concessões de benefícios previdenciários acidentários no período de 2012 e 2022. </w:t>
      </w:r>
    </w:p>
    <w:p>
      <w:pPr>
        <w:pStyle w:val="ListParagraph"/>
        <w:tabs>
          <w:tab w:val="clear" w:pos="708"/>
          <w:tab w:val="left" w:pos="709" w:leader="none"/>
        </w:tabs>
        <w:rPr/>
      </w:pPr>
      <w:r>
        <w:rPr/>
      </w:r>
    </w:p>
    <w:p>
      <w:pPr>
        <w:pStyle w:val="ListParagraph"/>
        <w:tabs>
          <w:tab w:val="clear" w:pos="708"/>
          <w:tab w:val="left" w:pos="709" w:leader="none"/>
        </w:tabs>
        <w:rPr/>
      </w:pPr>
      <w:r>
        <w:rPr/>
      </w:r>
    </w:p>
    <w:p>
      <w:pPr>
        <w:pStyle w:val="Normal"/>
        <w:tabs>
          <w:tab w:val="clear" w:pos="708"/>
          <w:tab w:val="left" w:pos="709" w:leader="none"/>
        </w:tabs>
        <w:rPr/>
      </w:pPr>
      <w:r>
        <w:rPr/>
      </w:r>
    </w:p>
    <w:p>
      <w:pPr>
        <w:pStyle w:val="Normal"/>
        <w:tabs>
          <w:tab w:val="clear" w:pos="708"/>
          <w:tab w:val="left" w:pos="709" w:leader="none"/>
        </w:tabs>
        <w:rPr/>
      </w:pPr>
      <w:r>
        <w:rPr/>
      </w:r>
    </w:p>
    <w:p>
      <w:pPr>
        <w:pStyle w:val="EstiloLegenda"/>
        <w:rPr/>
      </w:pPr>
      <w:bookmarkStart w:id="41" w:name="_Toc153611288"/>
      <w:bookmarkStart w:id="42" w:name="_Toc135504448"/>
      <w:bookmarkStart w:id="43" w:name="_Ref133064498"/>
      <w:r>
        <w:rPr/>
        <w:t xml:space="preserve">Figura </w:t>
      </w:r>
      <w:r>
        <w:rPr/>
        <w:fldChar w:fldCharType="begin"/>
      </w:r>
      <w:r>
        <w:rPr/>
        <w:instrText> SEQ Figura \* ARABIC </w:instrText>
      </w:r>
      <w:r>
        <w:rPr/>
        <w:fldChar w:fldCharType="separate"/>
      </w:r>
      <w:r>
        <w:rPr/>
        <w:t>5</w:t>
      </w:r>
      <w:r>
        <w:rPr/>
        <w:fldChar w:fldCharType="end"/>
      </w:r>
      <w:bookmarkEnd w:id="43"/>
      <w:r>
        <w:rPr/>
        <w:t xml:space="preserve"> – Série histórica de concessão de benefícios previdenciários acidentários.</w:t>
      </w:r>
      <w:bookmarkEnd w:id="41"/>
      <w:bookmarkEnd w:id="42"/>
    </w:p>
    <w:p>
      <w:pPr>
        <w:pStyle w:val="EstiloLegenda"/>
        <w:rPr/>
      </w:pPr>
      <w:r>
        <w:rPr/>
      </w:r>
    </w:p>
    <w:p>
      <w:pPr>
        <w:pStyle w:val="EstiloLegenda"/>
        <w:rPr/>
      </w:pPr>
      <w:r>
        <w:rPr/>
        <w:drawing>
          <wp:inline distT="0" distB="0" distL="0" distR="0">
            <wp:extent cx="5176520" cy="2879725"/>
            <wp:effectExtent l="0" t="0" r="0" b="0"/>
            <wp:docPr id="12" name="Imagem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m 5" descr=""/>
                    <pic:cNvPicPr>
                      <a:picLocks noChangeAspect="1" noChangeArrowheads="1"/>
                    </pic:cNvPicPr>
                  </pic:nvPicPr>
                  <pic:blipFill>
                    <a:blip r:embed="rId13"/>
                    <a:stretch>
                      <a:fillRect/>
                    </a:stretch>
                  </pic:blipFill>
                  <pic:spPr bwMode="auto">
                    <a:xfrm>
                      <a:off x="0" y="0"/>
                      <a:ext cx="5176520" cy="2879725"/>
                    </a:xfrm>
                    <a:prstGeom prst="rect">
                      <a:avLst/>
                    </a:prstGeom>
                  </pic:spPr>
                </pic:pic>
              </a:graphicData>
            </a:graphic>
          </wp:inline>
        </w:drawing>
      </w:r>
    </w:p>
    <w:p>
      <w:pPr>
        <w:pStyle w:val="EstiloLegenda"/>
        <w:rPr/>
      </w:pPr>
      <w:r>
        <w:rPr/>
      </w:r>
    </w:p>
    <w:p>
      <w:pPr>
        <w:pStyle w:val="ListParagraph"/>
        <w:jc w:val="center"/>
        <w:rPr>
          <w:sz w:val="20"/>
          <w:szCs w:val="20"/>
        </w:rPr>
      </w:pPr>
      <w:r>
        <w:rPr>
          <w:sz w:val="20"/>
          <w:szCs w:val="20"/>
        </w:rPr>
        <w:t>Fonte: Adaptada de Observatório de Segurança e Saúde no Trabalho (2022a).</w:t>
      </w:r>
    </w:p>
    <w:p>
      <w:pPr>
        <w:pStyle w:val="ListParagraph"/>
        <w:tabs>
          <w:tab w:val="clear" w:pos="708"/>
          <w:tab w:val="left" w:pos="709" w:leader="none"/>
        </w:tabs>
        <w:jc w:val="center"/>
        <w:rPr>
          <w:color w:val="FF0000"/>
        </w:rPr>
      </w:pPr>
      <w:r>
        <w:rPr>
          <w:color w:val="FF0000"/>
        </w:rPr>
      </w:r>
    </w:p>
    <w:p>
      <w:pPr>
        <w:pStyle w:val="ListParagraph"/>
        <w:rPr/>
      </w:pPr>
      <w:r>
        <w:rPr/>
        <w:t>Lima Júnior, López-Valcárcel e Dias (2005) enfatizam que a ausência de um bom gerenciamento do canteiro de obras e do ambiente de trabalho como um todo, bem como a não aplicação de medidas preventivas para mitigar possíveis problemas, podem agravar número de acidentes de trabalho na construção civil.</w:t>
      </w:r>
    </w:p>
    <w:p>
      <w:pPr>
        <w:pStyle w:val="ListParagraph"/>
        <w:rPr/>
      </w:pPr>
      <w:r>
        <w:rPr/>
        <w:t>Barbosa Filho (2015) informa que atividades que podem causar quedas de altura, choque elétrico, bem como o manuseio de equipamentos sem proteção adequada, agravam o número de acidentes na construção civil. Diante disso, visando uma melhoria das condições de segurança e saúde dos trabalhadores na indústria da indústria da construção civil, a criação de normas regulamentadoras, como, por exemplo, a Norma Regulamentadora nº 18 (NR-18), possibilita implementar medidas de controle e sistemas preventivos de segurança no ambiente de trabalho da construção civil.</w:t>
      </w:r>
    </w:p>
    <w:p>
      <w:pPr>
        <w:pStyle w:val="Ttulo2"/>
        <w:rPr/>
      </w:pPr>
      <w:bookmarkStart w:id="44" w:name="_Toc153611155"/>
      <w:bookmarkStart w:id="45" w:name="_Toc136701953"/>
      <w:r>
        <w:rPr/>
        <w:t>2.3 NORMAS REGULAMENTADORAS</w:t>
      </w:r>
      <w:bookmarkEnd w:id="44"/>
      <w:bookmarkEnd w:id="45"/>
    </w:p>
    <w:p>
      <w:pPr>
        <w:pStyle w:val="ListParagraph"/>
        <w:rPr/>
      </w:pPr>
      <w:r>
        <w:rPr/>
        <w:t xml:space="preserve">  </w:t>
      </w:r>
      <w:r>
        <w:rPr/>
        <w:t>As normas regulamentadoras (NR’s) estabelecem as diretrizes necessárias para manter a segurança das atividades laborais. Neste sentido, de acordo com o Ministério do Trabalho e Emprego, as normas regulamentadoras consistem em:</w:t>
      </w:r>
    </w:p>
    <w:p>
      <w:pPr>
        <w:pStyle w:val="Normal"/>
        <w:rPr/>
      </w:pPr>
      <w:r>
        <w:rPr/>
      </w:r>
    </w:p>
    <w:p>
      <w:pPr>
        <w:pStyle w:val="Quote"/>
        <w:rPr/>
      </w:pPr>
      <w:r>
        <w:rPr/>
        <w:t xml:space="preserve">Obrigações, direitos e deveres a serem cumpridos por empregadores e trabalhadores com o objetivo de garantir trabalho seguro e sadio, prevenindo a ocorrência de doenças e acidentes de trabalho (Ministério do Trabalho e Emprego, 2023). </w:t>
      </w:r>
    </w:p>
    <w:p>
      <w:pPr>
        <w:pStyle w:val="Quote"/>
        <w:rPr/>
      </w:pPr>
      <w:r>
        <w:rPr/>
      </w:r>
    </w:p>
    <w:p>
      <w:pPr>
        <w:pStyle w:val="ListParagraph"/>
        <w:ind w:firstLine="708"/>
        <w:rPr/>
      </w:pPr>
      <w:r>
        <w:rPr/>
        <w:t xml:space="preserve">O Ministério do Trabalho e Emprego (Brasil, 2022a), por meio da norma regulamentadora de número 01 (NR-01), ressalta que as empresas privadas, órgãos públicos da administração direta e indireta, assim como órgãos dos Poderes Legislativos, Judiciário e Ministério Público, que possuem empregados contratados e regidos pela Consolidação das Leis do Trabalho (CLT) devem cumprir as normas regulamentadoras. Além disso, o referido Ministério enfatiza que cabe a autoridade regional competente, referente à matéria de trabalho, impor as penalidades por descumprimentos das normas regulamentares que tratam da segurança e saúde no trabalho. </w:t>
      </w:r>
    </w:p>
    <w:p>
      <w:pPr>
        <w:pStyle w:val="ListParagraph"/>
        <w:rPr>
          <w:rFonts w:cs="Arial"/>
          <w:szCs w:val="24"/>
        </w:rPr>
      </w:pPr>
      <w:r>
        <w:rPr>
          <w:rFonts w:cs="Arial"/>
          <w:szCs w:val="24"/>
        </w:rPr>
        <w:t xml:space="preserve">Vale ressaltar que a Comissão Tripartite Paritária Permanente (CTPP), composta por representantes do Governo Federal, dos empregadores e dos trabalhadores, é um órgão colegiado responsável pela discussão para construção e atualização das normas regulamentadoras, na intenção de melhorar as condições e o meio ambiente do trabalho </w:t>
      </w:r>
      <w:r>
        <w:rPr/>
        <w:t>(Ministério do Trabalho e Emprego, 2023)</w:t>
      </w:r>
      <w:r>
        <w:rPr>
          <w:rFonts w:cs="Arial"/>
          <w:szCs w:val="24"/>
        </w:rPr>
        <w:t xml:space="preserve">. </w:t>
      </w:r>
    </w:p>
    <w:p>
      <w:pPr>
        <w:pStyle w:val="Ttulo3"/>
        <w:rPr/>
      </w:pPr>
      <w:bookmarkStart w:id="46" w:name="_Toc153611156"/>
      <w:bookmarkStart w:id="47" w:name="_Toc136701954"/>
      <w:r>
        <w:rPr/>
        <w:t>2.3.1 NR 18 – Segurança e saúde no trabalho na indústria da construção</w:t>
      </w:r>
      <w:bookmarkEnd w:id="46"/>
      <w:bookmarkEnd w:id="47"/>
      <w:r>
        <w:rPr/>
        <w:t xml:space="preserve"> </w:t>
      </w:r>
    </w:p>
    <w:p>
      <w:pPr>
        <w:pStyle w:val="ListParagraph"/>
        <w:rPr/>
      </w:pPr>
      <w:r>
        <w:rPr/>
        <w:t xml:space="preserve">A NR-18 tem como objetivo estabelecer os procedimentos que asseguram a segurança dos trabalhadores da indústria da construção, em todas as etapas do processo construtivos (Camisassa, 2015). Neste sentido, os procedimentos se referem a diretrizes de ordem administrativa, de planejamento e de organização, que destinam à implementação de medidas de controle e sistemas preventiva de segurança nos processos, nas condições e no meio ambiente de trabalho (Brasil, 2021). </w:t>
      </w:r>
    </w:p>
    <w:p>
      <w:pPr>
        <w:pStyle w:val="ListParagraph"/>
        <w:rPr/>
      </w:pPr>
      <w:r>
        <w:rPr/>
        <w:t xml:space="preserve">O Ministério do Trabalho e Emprego (2023) destaca que é de responsabilidade da organização impedir o ingresso ou a permanência de trabalhadores no canteiro de obras sem que estes estejam assegurados pelas medidas previstas na NR-18. </w:t>
      </w:r>
    </w:p>
    <w:p>
      <w:pPr>
        <w:pStyle w:val="ListParagraph"/>
        <w:rPr/>
      </w:pPr>
      <w:r>
        <w:rPr/>
        <w:t xml:space="preserve">Outrossim, Urias (2020) ressalta que a capacitação dos colaboradores é algo de suma importância na prevenção de acidentes de trabalho, conforme discorrido na NR-18. Neste sentido, a norma dispõe sobre os treinamentos de segurança específicos voltados para trabalhadores que operam gruas, equipamentos de movimentação e transporte de materiais e pessoas, trabalhos em altura e trabalho em espaços confinados. </w:t>
      </w:r>
    </w:p>
    <w:p>
      <w:pPr>
        <w:pStyle w:val="ListParagraph"/>
        <w:rPr/>
      </w:pPr>
      <w:r>
        <w:rPr/>
        <w:t xml:space="preserve">A NR-18 dispõe ainda sobre o Programa de Gerenciamento de Riscos (PGR), que de acordo com sua nova atualização, em 2021, passou a substituir o Programa de Condições e Meio Ambiente de Trabalho (PCMAT). Desta forma, a norma destaca a obrigatoriedade da elaboração e implantação do PGR nos canteiros de obras, abrangendo os riscos ocupacionais e suas medidas de prevenção (Brasil, 2021). </w:t>
      </w:r>
    </w:p>
    <w:p>
      <w:pPr>
        <w:pStyle w:val="ListParagraph"/>
        <w:rPr/>
      </w:pPr>
      <w:r>
        <w:rPr/>
        <w:t>Além das obrigatoriedades que devem conter no PGR, destaca-se que o mesmo deve ser atualizado de acordo com a fase em que se encontra o canteiro de obras. Ademais, as empresas terceirizadas devem fornecer ao contratante o levantamento de riscos ocupacionais específicos de suas atividades, em que deve ser contemplado no PGR do canteiro de obras (Brasil, 2021).</w:t>
      </w:r>
    </w:p>
    <w:p>
      <w:pPr>
        <w:pStyle w:val="Ttulo3"/>
        <w:rPr/>
      </w:pPr>
      <w:bookmarkStart w:id="48" w:name="_Toc153611157"/>
      <w:bookmarkStart w:id="49" w:name="_Toc136701955"/>
      <w:r>
        <w:rPr/>
        <w:t>2.3.2 Canteiro de obras</w:t>
      </w:r>
      <w:bookmarkEnd w:id="48"/>
      <w:bookmarkEnd w:id="49"/>
      <w:r>
        <w:rPr/>
        <w:t xml:space="preserve"> </w:t>
      </w:r>
    </w:p>
    <w:p>
      <w:pPr>
        <w:pStyle w:val="ListParagraph"/>
        <w:rPr/>
      </w:pPr>
      <w:r>
        <w:rPr/>
        <w:t xml:space="preserve">De acordo com Pereira (2018), o canteiro de obras representa um ambiente de trabalho, seja ele permanente ou temporário, utilizado para a execução de atividades relacionadas ao suporte e construção de uma obra, que engloba áreas de vivência e áreas operacionais. </w:t>
      </w:r>
    </w:p>
    <w:p>
      <w:pPr>
        <w:pStyle w:val="ListParagraph"/>
        <w:rPr/>
      </w:pPr>
      <w:r>
        <w:rPr/>
        <w:t>Desta forma, segundo a NBR 12284 (ABNT, 1991), são consideradas áreas operacionais aquelas em que as atividades de trabalho estão diretamente ligadas à produção. E as áreas de vivência são os espaços destinados a suprir as necessidades básicas dos trabalhadores, como alimentação, higiene pessoal, descanso, lazer, convivência e ambulatoriais, e devem estar fisicamente separadas das áreas operacionais.</w:t>
      </w:r>
    </w:p>
    <w:p>
      <w:pPr>
        <w:pStyle w:val="ListParagraph"/>
        <w:rPr/>
      </w:pPr>
      <w:r>
        <w:rPr/>
        <w:t xml:space="preserve">Oliveira </w:t>
      </w:r>
      <w:r>
        <w:rPr>
          <w:i/>
          <w:iCs/>
        </w:rPr>
        <w:t>et al</w:t>
      </w:r>
      <w:r>
        <w:rPr/>
        <w:t>. (2018) realizaram pesquisa em um canteiro de obra na cidade de Campina Grande/PB. Os autores evidenciaram que o referido canteiro não estava em conformidade com o estabelecido pela NR-18: não havia ventilação natural e/ou artificial na cozinha, não havia bancos nos vestiários, além de não existir medidas de proteção contra quedas de alturas em alguns locais, dentre outros.</w:t>
      </w:r>
    </w:p>
    <w:p>
      <w:pPr>
        <w:pStyle w:val="ListParagraph"/>
        <w:rPr/>
      </w:pPr>
      <w:r>
        <w:rPr/>
        <w:t xml:space="preserve">Medeiros </w:t>
      </w:r>
      <w:r>
        <w:rPr>
          <w:i/>
          <w:iCs/>
        </w:rPr>
        <w:t>et al</w:t>
      </w:r>
      <w:r>
        <w:rPr/>
        <w:t>. (2016) elaboraram um diagnóstico do cumprimento da NR-18 em 16 (dezesseis) empresas de João Pessoa/PB, por meio de informações obtidas pelo Sindicato da Indústria da Construção Civil de João Pessoa. Foi constatado que, em uma obra, algumas medidas de proteção coletivas utilizadas foram desenvolvidas por mestre de obras e carpinteiros, o que evidencia a necessidade de atuação um profissional habilitado em segurança do trabalho. Além disso, evidenciou-se outras falhas, como, por exemplo, ausência de projetos. No entanto, de forma geral, as empresas cumpriram de forma satisfatória os requisitos da NR-18 nos canteiros de obra em estudo.</w:t>
      </w:r>
    </w:p>
    <w:p>
      <w:pPr>
        <w:pStyle w:val="Ttulo4"/>
        <w:rPr/>
      </w:pPr>
      <w:bookmarkStart w:id="50" w:name="_Toc153611158"/>
      <w:bookmarkStart w:id="51" w:name="_Toc136701956"/>
      <w:r>
        <w:rPr/>
        <w:t>2.3.2.1 Áreas de vivência</w:t>
      </w:r>
      <w:bookmarkEnd w:id="50"/>
      <w:bookmarkEnd w:id="51"/>
      <w:r>
        <w:rPr/>
        <w:t xml:space="preserve"> </w:t>
      </w:r>
    </w:p>
    <w:p>
      <w:pPr>
        <w:pStyle w:val="ListParagraph"/>
        <w:ind w:firstLine="708"/>
        <w:rPr/>
      </w:pPr>
      <w:r>
        <w:rPr/>
        <w:t xml:space="preserve">A NR-18 abrange diretrizes a respeito das áreas de vivência nos canteiros de obra, sendo: </w:t>
      </w:r>
    </w:p>
    <w:p>
      <w:pPr>
        <w:pStyle w:val="Quote"/>
        <w:rPr/>
      </w:pPr>
      <w:r>
        <w:rPr/>
        <w:t xml:space="preserve">As áreas de vivência devem ser projetadas de forma a oferecer, aos trabalhadores, condições mínimas de segurança, de conforto e de privacidade e devem ser mantidas em perfeito estado de conservação, higiene e limpeza, contemplando as seguintes instalações: a) instalação sanitária; b) vestiário; c) local para refeição d) alojamento, quando houver trabalhador alojado (Brasil, 2021). </w:t>
      </w:r>
    </w:p>
    <w:p>
      <w:pPr>
        <w:pStyle w:val="Quote"/>
        <w:rPr/>
      </w:pPr>
      <w:r>
        <w:rPr/>
      </w:r>
    </w:p>
    <w:p>
      <w:pPr>
        <w:pStyle w:val="ListParagraph"/>
        <w:rPr/>
      </w:pPr>
      <w:r>
        <w:rPr/>
        <w:t xml:space="preserve">Por conseguinte, a NR-18 apresenta critérios de dimensionamento das instalações hidrossanitárias, estabelecendo as seguintes proporções (Brasil, 2021):  </w:t>
      </w:r>
    </w:p>
    <w:p>
      <w:pPr>
        <w:pStyle w:val="ListParagraph"/>
        <w:numPr>
          <w:ilvl w:val="0"/>
          <w:numId w:val="1"/>
        </w:numPr>
        <w:rPr/>
      </w:pPr>
      <w:r>
        <w:rPr/>
        <w:t>1 lavatório, 1 vaso sanitário (dotado de assento com tampo) e 1 mictório para cada grupo de 20 trabalhadores;</w:t>
      </w:r>
    </w:p>
    <w:p>
      <w:pPr>
        <w:pStyle w:val="ListParagraph"/>
        <w:numPr>
          <w:ilvl w:val="0"/>
          <w:numId w:val="1"/>
        </w:numPr>
        <w:rPr/>
      </w:pPr>
      <w:r>
        <w:rPr/>
        <w:t>1 chuveiro para cada grupo de 10 trabalhadores ou fração;</w:t>
      </w:r>
    </w:p>
    <w:p>
      <w:pPr>
        <w:pStyle w:val="ListParagraph"/>
        <w:numPr>
          <w:ilvl w:val="0"/>
          <w:numId w:val="1"/>
        </w:numPr>
        <w:rPr/>
      </w:pPr>
      <w:r>
        <w:rPr/>
        <w:t xml:space="preserve">O deslocamento do trabalhador do seu posto de trabalho até a instalação sanitária mais próxima não pode exceder 150 metros. </w:t>
      </w:r>
    </w:p>
    <w:p>
      <w:pPr>
        <w:pStyle w:val="ListParagraph"/>
        <w:numPr>
          <w:ilvl w:val="0"/>
          <w:numId w:val="1"/>
        </w:numPr>
        <w:rPr/>
      </w:pPr>
      <w:r>
        <w:rPr/>
        <w:t xml:space="preserve">1 bebedouro para cada grupo de 25 trabalhadores ou fração; </w:t>
      </w:r>
    </w:p>
    <w:p>
      <w:pPr>
        <w:pStyle w:val="ListParagraph"/>
        <w:numPr>
          <w:ilvl w:val="0"/>
          <w:numId w:val="1"/>
        </w:numPr>
        <w:rPr/>
      </w:pPr>
      <w:r>
        <w:rPr/>
        <w:t xml:space="preserve">O deslocamento do trabalhador do seu posto de trabalho ao bebedouro ou dispositivo equivalente não pode exceder 100 metros no plano horizontal e 15 metros no plano vertical. </w:t>
      </w:r>
    </w:p>
    <w:p>
      <w:pPr>
        <w:pStyle w:val="Normal"/>
        <w:rPr/>
      </w:pPr>
      <w:r>
        <w:rPr/>
      </w:r>
    </w:p>
    <w:p>
      <w:pPr>
        <w:pStyle w:val="ListParagraph"/>
        <w:rPr/>
      </w:pPr>
      <w:r>
        <w:rPr/>
        <w:t xml:space="preserve">Neste sentido, Formoso e Saurin (2006), enfatizam que como a norma estabelece que o deslocamento do trabalhador do seu posto de trabalho até a instalação sanitária mais próxima não pode exceder 150 metros, podem ser colocados banheiros volantes em locais próximos aos postos de trabalho, com o intuito de diminuir deslocamentos improdutivos durante o horário de trabalho. </w:t>
      </w:r>
    </w:p>
    <w:p>
      <w:pPr>
        <w:pStyle w:val="Ttulo4"/>
        <w:rPr/>
      </w:pPr>
      <w:bookmarkStart w:id="52" w:name="_Toc153611159"/>
      <w:bookmarkStart w:id="53" w:name="_Toc136701957"/>
      <w:r>
        <w:rPr/>
        <w:t>2.3.2.2 Instalações elétricas</w:t>
      </w:r>
      <w:bookmarkEnd w:id="52"/>
      <w:bookmarkEnd w:id="53"/>
      <w:r>
        <w:rPr/>
        <w:t xml:space="preserve"> </w:t>
      </w:r>
    </w:p>
    <w:p>
      <w:pPr>
        <w:pStyle w:val="ListParagraph"/>
        <w:rPr/>
      </w:pPr>
      <w:r>
        <w:rPr/>
        <w:t>A NR-18 pontua que a execução das instalações elétricas temporárias e definitivas deve seguir o que dispõe a NR-10 (segurança em instalações e serviços em eletricidade), além disso, os serviços devem ser realizados por trabalhadores autorizados conforme diretrizes da NR-10 (Brasil, 2021).</w:t>
      </w:r>
    </w:p>
    <w:p>
      <w:pPr>
        <w:pStyle w:val="ListParagraph"/>
        <w:rPr/>
      </w:pPr>
      <w:r>
        <w:rPr/>
        <w:t xml:space="preserve">Dessa forma, a norma evidencia ainda que as instalações elétricas devem possuir sistemas de aterramento elétrico de proteção, no qual, devem ser submetidos a inspeções e medições elétricas periódicas, sendo realizada por profissional legalmente habilitado com emissão de laudos, conforme o projeto das instalações elétricas temporárias respeitando as normas técnicas nacionais vigentes (Brasil, 2021). </w:t>
      </w:r>
    </w:p>
    <w:p>
      <w:pPr>
        <w:pStyle w:val="ListParagraph"/>
        <w:rPr/>
      </w:pPr>
      <w:r>
        <w:rPr/>
        <w:t>Outrossim, a NR-18 salienta sobre a obrigatoriedade da utilização do dispositivo Diferencial Residual (DR), como prevenção adicional nas instalações elétricas, de acordo com as condições estabelecidas pelas normas técnicas nacionais em vigor. Ainda, destaca-se que os quadros de distribuição das instalações elétricas devem estar identificados e sinalizados quanto ao risco elétrico (Brasil, 2021).</w:t>
      </w:r>
    </w:p>
    <w:p>
      <w:pPr>
        <w:pStyle w:val="ListParagraph"/>
        <w:rPr/>
      </w:pPr>
      <w:r>
        <w:rPr/>
        <w:t xml:space="preserve">Ademais, os canteiros de obras devem possuir projetos, estarem construídos e protegidos por Sistema de Proteção contra Descargas Atmosféricas, em acordo com as normas técnicas nacionais vigentes (Brasil, 2021). </w:t>
      </w:r>
    </w:p>
    <w:p>
      <w:pPr>
        <w:pStyle w:val="ListParagraph"/>
        <w:rPr/>
      </w:pPr>
      <w:r>
        <w:rPr/>
        <w:t xml:space="preserve">Miranda </w:t>
      </w:r>
      <w:r>
        <w:rPr>
          <w:i/>
          <w:iCs/>
        </w:rPr>
        <w:t>et al</w:t>
      </w:r>
      <w:r>
        <w:rPr/>
        <w:t xml:space="preserve">. (2022) avaliaram o cumprimento dos requisitos das instalações elétricas provisórias, baseados na NR-18, por meio de um formulário de inspeção </w:t>
      </w:r>
      <w:r>
        <w:rPr>
          <w:i/>
          <w:iCs/>
        </w:rPr>
        <w:t>in loco</w:t>
      </w:r>
      <w:r>
        <w:rPr/>
        <w:t xml:space="preserve">, em nove canteiros de obras da cidade de Cuiabá/MT e constataram que o canteiro de obras com o melhor resultado apresentou conformidade em apenas 63,33% dos itens descritos no referido formulário. Além disso, os autores verificaram que todas as obras possuíam projeto elétrico da edificação que seria construída, no entanto, nenhuma delas possuía projeto das instalações elétricas provisórias que já estavam em funcionamento. </w:t>
      </w:r>
    </w:p>
    <w:p>
      <w:pPr>
        <w:pStyle w:val="Ttulo4"/>
        <w:rPr/>
      </w:pPr>
      <w:bookmarkStart w:id="54" w:name="_Toc153611160"/>
      <w:bookmarkStart w:id="55" w:name="_Toc136701958"/>
      <w:r>
        <w:rPr/>
        <w:t>2.3.2.3 Escadas, rampas e passarelas</w:t>
      </w:r>
      <w:bookmarkEnd w:id="54"/>
      <w:bookmarkEnd w:id="55"/>
    </w:p>
    <w:p>
      <w:pPr>
        <w:pStyle w:val="ListParagraph"/>
        <w:rPr/>
      </w:pPr>
      <w:r>
        <w:rPr/>
        <w:t>A NR-18 estabelece a obrigatoriedade a instalação de escada ou rampa como meio de circulação de trabalhadores em que haja diferença de nível entre pisos superior a 40 centímetros (Brasil, 2021).</w:t>
      </w:r>
    </w:p>
    <w:p>
      <w:pPr>
        <w:pStyle w:val="ListParagraph"/>
        <w:rPr/>
      </w:pPr>
      <w:r>
        <w:rPr/>
        <w:t>Ademais, a norma determina ainda a que quando necessário o trânsito de pessoas sobre vãos com risco de queda de altura é obrigatório a instalação de passarelas. Além disso, é necessário dimensionar as escadas, rampas e passarelas conforme as cargas que estarão submetidas (Brasil, 2021).</w:t>
      </w:r>
    </w:p>
    <w:p>
      <w:pPr>
        <w:pStyle w:val="ListParagraph"/>
        <w:rPr/>
      </w:pPr>
      <w:r>
        <w:rPr/>
        <w:t>Felix</w:t>
      </w:r>
      <w:r>
        <w:rPr>
          <w:i/>
          <w:iCs/>
        </w:rPr>
        <w:t xml:space="preserve"> et al</w:t>
      </w:r>
      <w:r>
        <w:rPr/>
        <w:t>. (2011) reforçam que a construção de escadas de mão de acordo com projetos e especificações técnicas pode prevenir acidentes. É recomendável restringir o uso a acessos temporários e a tarefas de menor complexidade. Utilizar essas escadas de forma frequente ou construí-las de maneira inadequada pode aumentar consideravelmente a probabilidade de ocorrência de acidentes no ambiente de trabalho.</w:t>
      </w:r>
    </w:p>
    <w:p>
      <w:pPr>
        <w:pStyle w:val="ListParagraph"/>
        <w:rPr/>
      </w:pPr>
      <w:r>
        <w:rPr/>
        <w:t xml:space="preserve">Por essa razão, a NR-18 especifica que quando as escadas forem construídas de madeira, não devem apresentar saliências ou emendas, nem farpas. Ainda, sendo vedado o uso de escada portátil próximo a portas, áreas de circulação, aberturas, vãos e locais com risco de queda de objetos ou materiais, salvo quando forem implementadas medidas preventivas (Brasil, 2021). </w:t>
      </w:r>
    </w:p>
    <w:p>
      <w:pPr>
        <w:pStyle w:val="Ttulo4"/>
        <w:rPr/>
      </w:pPr>
      <w:bookmarkStart w:id="56" w:name="_Toc153611161"/>
      <w:bookmarkStart w:id="57" w:name="_Toc136701959"/>
      <w:r>
        <w:rPr/>
        <w:t>2.3.2.4 Medidas de prevenção contra queda de altura</w:t>
      </w:r>
      <w:bookmarkEnd w:id="56"/>
      <w:bookmarkEnd w:id="57"/>
      <w:r>
        <w:rPr/>
        <w:t xml:space="preserve"> </w:t>
      </w:r>
    </w:p>
    <w:p>
      <w:pPr>
        <w:pStyle w:val="ListParagraph"/>
        <w:rPr/>
      </w:pPr>
      <w:r>
        <w:rPr/>
        <w:t xml:space="preserve">Segundo Felix </w:t>
      </w:r>
      <w:r>
        <w:rPr>
          <w:i/>
          <w:iCs/>
        </w:rPr>
        <w:t>et al</w:t>
      </w:r>
      <w:r>
        <w:rPr/>
        <w:t xml:space="preserve">. (2011), todo ano centenas de trabalhadores são vítimas de acidentes fatais, devido à falta de proteção em situação de risco de queda de altura. Esse problema persistente pode ser atribuído à falta de medidas de segurança adequadas, o que torna a implementação de medidas de prevenção contra queda de altura ainda mais urgente para se evitar perdas trágicas. </w:t>
      </w:r>
    </w:p>
    <w:p>
      <w:pPr>
        <w:pStyle w:val="ListParagraph"/>
        <w:rPr/>
      </w:pPr>
      <w:r>
        <w:rPr/>
        <w:t>De acordo com a NR-18, a instalação de proteção coletiva é obrigatória em qualquer situação que represente risco de queda para trabalhadores ou projeção de materiais e objetos no entorno da obra. Além disso, essa proteção deve ser projetada por um profissional devidamente habilitado, em conformidade com as leis e regulamentações aplicáveis (Brasil, 2021).</w:t>
      </w:r>
    </w:p>
    <w:p>
      <w:pPr>
        <w:pStyle w:val="ListParagraph"/>
        <w:rPr/>
      </w:pPr>
      <w:r>
        <w:rPr/>
        <w:t>Neste sentido, Martins (2005) aponta que a implementação de medidas de prevenção contra quedas de altura requer planejamento e projeto detalhado. É necessário antecipar e conhecer todas as condições de risco de acidentes para que possam ser tomadas ações preventivas adequadas. Assim, todos os projetistas envolvidos na concepção da edificação, devem fornecer soluções detalhadas e especificações para a proteção dos trabalhadores.</w:t>
      </w:r>
    </w:p>
    <w:p>
      <w:pPr>
        <w:pStyle w:val="Ttulo4"/>
        <w:rPr/>
      </w:pPr>
      <w:bookmarkStart w:id="58" w:name="_Toc153611162"/>
      <w:bookmarkStart w:id="59" w:name="_Toc136701960"/>
      <w:r>
        <w:rPr/>
        <w:t>2.3.2.5 Máquinas, equipamentos e ferramentas</w:t>
      </w:r>
      <w:bookmarkEnd w:id="58"/>
      <w:bookmarkEnd w:id="59"/>
      <w:r>
        <w:rPr/>
        <w:t xml:space="preserve"> </w:t>
      </w:r>
    </w:p>
    <w:p>
      <w:pPr>
        <w:pStyle w:val="ListParagraph"/>
        <w:rPr/>
      </w:pPr>
      <w:r>
        <w:rPr/>
        <w:t xml:space="preserve">É responsabilidade do empregador adotar medidas de proteção para garantir a saúde e a integridade física dos trabalhadores que operam em máquinas e equipamentos. Ademais, é a NR-12 a norma responsável por dispor sobre segurança no trabalho em máquinas e equipamentos (Brasil, 2022b). </w:t>
      </w:r>
    </w:p>
    <w:p>
      <w:pPr>
        <w:pStyle w:val="ListParagraph"/>
        <w:rPr/>
      </w:pPr>
      <w:r>
        <w:rPr/>
        <w:t xml:space="preserve"> </w:t>
      </w:r>
      <w:r>
        <w:rPr/>
        <w:t>Todavia, a NR-18 também dispõe sobre medidas de proteção para máquinas, equipamentos e ferramentas. A referida norma exige que as máquinas e equipamentos estacionários estejam instalados em ambiente coberto e com iluminação adequada para as atividades que serão realizadas. Ademais, a norma ressalta ainda que, para evitar acidentes, é recomendado que as ferramentas manuais não sejam deixadas sobre passagens, escadas, andaimes e outras superfícies de trabalho ou circulação. Diante disso, elas devem ser guardadas em locais apropriados quando não estiverem em uso (Brasil, 2021).</w:t>
      </w:r>
    </w:p>
    <w:p>
      <w:pPr>
        <w:pStyle w:val="ListParagraph"/>
        <w:rPr/>
      </w:pPr>
      <w:r>
        <w:rPr/>
        <w:t xml:space="preserve">Silva (2015) constatou problemas existentes em uma serra circular de bancada e em uma betoneira de um canteiro de obras da cidade de Sumé/PB, como, por exemplo, falta de proteção nas correias e no motor, ausência de botões de segurança para paradas de emergência, dentre outros. Neste sentido, o autor sugeriu a implementação de ações visando solucionar as não conformidades encontradas, conforme disposto na norma regulamentadora NR-12. </w:t>
      </w:r>
    </w:p>
    <w:p>
      <w:pPr>
        <w:pStyle w:val="Ttulo4"/>
        <w:rPr/>
      </w:pPr>
      <w:bookmarkStart w:id="60" w:name="_Toc153611163"/>
      <w:bookmarkStart w:id="61" w:name="_Toc136701961"/>
      <w:r>
        <w:rPr/>
        <w:t>2.3.2.6 Andaimes e plataforma de trabalho</w:t>
      </w:r>
      <w:bookmarkEnd w:id="60"/>
      <w:bookmarkEnd w:id="61"/>
    </w:p>
    <w:p>
      <w:pPr>
        <w:pStyle w:val="ListParagraph"/>
        <w:rPr/>
      </w:pPr>
      <w:r>
        <w:rPr/>
        <w:t xml:space="preserve"> </w:t>
      </w:r>
      <w:r>
        <w:rPr/>
        <w:t xml:space="preserve">Segundo a NBR 6494 (ABNT,1990), os andaimes são estruturas indispensáveis para a execução de trabalhos em locais elevados, onde a segurança a partir do piso não pode ser garantida. Eles são amplamente utilizados em uma variedade de atividades, como, por exemplo, construção, reforma, demolição, pintura, limpeza e manutenção. Para assegurar a segurança dos trabalhadores que utilizam os andaimes, é fundamental que estes sejam projetados e construídos para suportar as cargas e esforços a que serão submetidos durante sua utilização. </w:t>
      </w:r>
    </w:p>
    <w:p>
      <w:pPr>
        <w:pStyle w:val="ListParagraph"/>
        <w:rPr/>
      </w:pPr>
      <w:r>
        <w:rPr/>
        <w:t xml:space="preserve">Ressalta-se que a adoção de medidas de segurança adicionais, como o uso de equipamentos de proteção individual, também é essencial para minimizar os riscos de acidentes. A </w:t>
      </w:r>
      <w:r>
        <w:rPr/>
        <w:fldChar w:fldCharType="begin"/>
      </w:r>
      <w:r>
        <w:rPr/>
        <w:instrText> REF _Ref134557003 \h </w:instrText>
      </w:r>
      <w:r>
        <w:rPr/>
        <w:fldChar w:fldCharType="separate"/>
      </w:r>
      <w:r>
        <w:rPr/>
        <w:t>Figura 6</w:t>
      </w:r>
      <w:r>
        <w:rPr/>
        <w:fldChar w:fldCharType="end"/>
      </w:r>
      <w:r>
        <w:rPr/>
        <w:t xml:space="preserve"> ilustra um exemplo de andaime simplesmente apoiado, utilizado na construção civil. </w:t>
      </w:r>
    </w:p>
    <w:p>
      <w:pPr>
        <w:pStyle w:val="ListParagraph"/>
        <w:rPr/>
      </w:pPr>
      <w:r>
        <w:rPr/>
      </w:r>
    </w:p>
    <w:p>
      <w:pPr>
        <w:pStyle w:val="EstiloLegenda"/>
        <w:rPr/>
      </w:pPr>
      <w:bookmarkStart w:id="62" w:name="_Toc153611289"/>
      <w:bookmarkStart w:id="63" w:name="_Toc135504451"/>
      <w:bookmarkStart w:id="64" w:name="_Ref134557003"/>
      <w:r>
        <w:rPr/>
        <w:t xml:space="preserve">Figura </w:t>
      </w:r>
      <w:r>
        <w:rPr>
          <w:rFonts w:eastAsia="Calibri" w:cs="" w:cstheme="minorBidi" w:eastAsiaTheme="minorHAnsi"/>
          <w:iCs w:val="false"/>
          <w:sz w:val="24"/>
          <w:szCs w:val="22"/>
        </w:rPr>
        <w:fldChar w:fldCharType="begin"/>
      </w:r>
      <w:r>
        <w:rPr>
          <w:sz w:val="24"/>
          <w:szCs w:val="22"/>
          <w:iCs w:val="false"/>
          <w:rFonts w:eastAsia="Calibri" w:cs=""/>
        </w:rPr>
        <w:instrText> SEQ Figura \* ARABIC </w:instrText>
      </w:r>
      <w:r>
        <w:rPr>
          <w:sz w:val="24"/>
          <w:szCs w:val="22"/>
          <w:iCs w:val="false"/>
          <w:rFonts w:eastAsia="Calibri" w:cs=""/>
        </w:rPr>
        <w:fldChar w:fldCharType="separate"/>
      </w:r>
      <w:r>
        <w:rPr>
          <w:sz w:val="24"/>
          <w:szCs w:val="22"/>
          <w:iCs w:val="false"/>
          <w:rFonts w:eastAsia="Calibri" w:cs=""/>
        </w:rPr>
        <w:t>6</w:t>
      </w:r>
      <w:r>
        <w:rPr>
          <w:sz w:val="24"/>
          <w:szCs w:val="22"/>
          <w:iCs w:val="false"/>
          <w:rFonts w:eastAsia="Calibri" w:cs=""/>
        </w:rPr>
        <w:fldChar w:fldCharType="end"/>
      </w:r>
      <w:bookmarkEnd w:id="64"/>
      <w:r>
        <w:rPr/>
        <w:t xml:space="preserve"> – Andaime simplesmente apoiado</w:t>
      </w:r>
      <w:bookmarkEnd w:id="62"/>
      <w:bookmarkEnd w:id="63"/>
    </w:p>
    <w:p>
      <w:pPr>
        <w:pStyle w:val="ListParagraph"/>
        <w:ind w:hanging="0"/>
        <w:jc w:val="center"/>
        <w:rPr/>
      </w:pPr>
      <w:r>
        <w:rPr/>
        <w:drawing>
          <wp:inline distT="0" distB="0" distL="0" distR="0">
            <wp:extent cx="2578735" cy="3771900"/>
            <wp:effectExtent l="0" t="0" r="0" b="0"/>
            <wp:docPr id="13" name="Imagem 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m 7" descr=""/>
                    <pic:cNvPicPr>
                      <a:picLocks noChangeAspect="1" noChangeArrowheads="1"/>
                    </pic:cNvPicPr>
                  </pic:nvPicPr>
                  <pic:blipFill>
                    <a:blip r:embed="rId14"/>
                    <a:stretch>
                      <a:fillRect/>
                    </a:stretch>
                  </pic:blipFill>
                  <pic:spPr bwMode="auto">
                    <a:xfrm>
                      <a:off x="0" y="0"/>
                      <a:ext cx="2578735" cy="3771900"/>
                    </a:xfrm>
                    <a:prstGeom prst="rect">
                      <a:avLst/>
                    </a:prstGeom>
                  </pic:spPr>
                </pic:pic>
              </a:graphicData>
            </a:graphic>
          </wp:inline>
        </w:drawing>
      </w:r>
    </w:p>
    <w:p>
      <w:pPr>
        <w:pStyle w:val="ListParagraph"/>
        <w:ind w:hanging="0"/>
        <w:jc w:val="center"/>
        <w:rPr>
          <w:sz w:val="20"/>
          <w:szCs w:val="20"/>
        </w:rPr>
      </w:pPr>
      <w:r>
        <w:rPr>
          <w:sz w:val="20"/>
          <w:szCs w:val="20"/>
        </w:rPr>
        <w:t>Fonte: Inson (2022).</w:t>
      </w:r>
    </w:p>
    <w:p>
      <w:pPr>
        <w:pStyle w:val="ListParagraph"/>
        <w:rPr/>
      </w:pPr>
      <w:r>
        <w:rPr/>
      </w:r>
    </w:p>
    <w:p>
      <w:pPr>
        <w:pStyle w:val="ListParagraph"/>
        <w:rPr/>
      </w:pPr>
      <w:r>
        <w:rPr/>
        <w:t>Por conseguinte, a NR-18, ressalta que os andaimes precisam ser acompanhados de manuais de instrução em língua portuguesa, fornecidos pelo fabricante, importador ou locador. Além disso, devem ser projetados por profissionais legalmente habilitados (Brasil, 2021).</w:t>
      </w:r>
    </w:p>
    <w:p>
      <w:pPr>
        <w:pStyle w:val="Ttulo4"/>
        <w:rPr/>
      </w:pPr>
      <w:bookmarkStart w:id="65" w:name="_Toc153611164"/>
      <w:bookmarkStart w:id="66" w:name="_Toc136701962"/>
      <w:r>
        <w:rPr/>
        <w:t>2.3.2.7 Sinalização de segurança</w:t>
      </w:r>
      <w:bookmarkEnd w:id="65"/>
      <w:bookmarkEnd w:id="66"/>
    </w:p>
    <w:p>
      <w:pPr>
        <w:pStyle w:val="ListParagraph"/>
        <w:rPr/>
      </w:pPr>
      <w:r>
        <w:rPr/>
        <w:t xml:space="preserve">De acordo com Brasil (2022c), A Norma Regulamentadora que estabelece as cores a serem utilizadas como sinalização de segurança nos locais de trabalho, visando prevenir acidentes e doenças ocupacionais é a NR-26. Assim, ela define a finalidade e os critérios de escolha das cores de segurança, bem como a forma de aplicação e a padronização das cores em diferentes situações, como em equipamentos de proteção individual, equipamentos de combate a incêndios, tubulações, entre outros (Brasil, 2022c). A </w:t>
      </w:r>
      <w:r>
        <w:rPr/>
        <w:fldChar w:fldCharType="begin"/>
      </w:r>
      <w:r>
        <w:rPr/>
        <w:instrText> REF _Ref152096317 \h </w:instrText>
      </w:r>
      <w:r>
        <w:rPr/>
        <w:fldChar w:fldCharType="separate"/>
      </w:r>
      <w:r>
        <w:rPr/>
        <w:t>Figura 7</w:t>
      </w:r>
      <w:r>
        <w:rPr/>
        <w:fldChar w:fldCharType="end"/>
      </w:r>
      <w:r>
        <w:rPr/>
        <w:t xml:space="preserve"> ilustra exemplos de sinalização de segurança que podem ser adotadas em canteiros de obra. </w:t>
      </w:r>
    </w:p>
    <w:p>
      <w:pPr>
        <w:pStyle w:val="Normal"/>
        <w:rPr/>
      </w:pPr>
      <w:r>
        <w:rPr/>
      </w:r>
    </w:p>
    <w:p>
      <w:pPr>
        <w:pStyle w:val="EstiloLegenda"/>
        <w:jc w:val="both"/>
        <w:rPr/>
      </w:pPr>
      <w:r>
        <w:rPr/>
      </w:r>
      <w:bookmarkStart w:id="67" w:name="_Toc135504452"/>
      <w:bookmarkStart w:id="68" w:name="_Ref134563747"/>
      <w:bookmarkStart w:id="69" w:name="_Toc135504452"/>
      <w:bookmarkStart w:id="70" w:name="_Ref134563747"/>
    </w:p>
    <w:p>
      <w:pPr>
        <w:pStyle w:val="EstiloLegenda"/>
        <w:jc w:val="both"/>
        <w:rPr/>
      </w:pPr>
      <w:r>
        <w:rPr/>
      </w:r>
    </w:p>
    <w:p>
      <w:pPr>
        <w:pStyle w:val="EstiloLegenda"/>
        <w:jc w:val="both"/>
        <w:rPr/>
      </w:pPr>
      <w:r>
        <w:rPr/>
      </w:r>
    </w:p>
    <w:p>
      <w:pPr>
        <w:pStyle w:val="EstiloLegenda"/>
        <w:rPr/>
      </w:pPr>
      <w:bookmarkStart w:id="71" w:name="_Toc153611290"/>
      <w:bookmarkStart w:id="72" w:name="_Ref152096317"/>
      <w:r>
        <w:rPr/>
        <w:t xml:space="preserve">Figura </w:t>
      </w:r>
      <w:r>
        <w:rPr/>
        <w:fldChar w:fldCharType="begin"/>
      </w:r>
      <w:r>
        <w:rPr/>
        <w:instrText> SEQ Figura \* ARABIC </w:instrText>
      </w:r>
      <w:r>
        <w:rPr/>
        <w:fldChar w:fldCharType="separate"/>
      </w:r>
      <w:r>
        <w:rPr/>
        <w:t>7</w:t>
      </w:r>
      <w:r>
        <w:rPr/>
        <w:fldChar w:fldCharType="end"/>
      </w:r>
      <w:bookmarkEnd w:id="70"/>
      <w:bookmarkEnd w:id="72"/>
      <w:r>
        <w:rPr/>
        <w:t xml:space="preserve"> – Sinalização de segurança</w:t>
      </w:r>
      <w:bookmarkEnd w:id="69"/>
      <w:bookmarkEnd w:id="71"/>
    </w:p>
    <w:p>
      <w:pPr>
        <w:pStyle w:val="ListParagraph"/>
        <w:ind w:hanging="0"/>
        <w:jc w:val="center"/>
        <w:rPr/>
      </w:pPr>
      <w:r>
        <w:rPr/>
        <w:drawing>
          <wp:inline distT="0" distB="0" distL="0" distR="0">
            <wp:extent cx="5231765" cy="1828800"/>
            <wp:effectExtent l="0" t="0" r="0" b="0"/>
            <wp:docPr id="14" name="Imagem 173761892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m 1737618923" descr=""/>
                    <pic:cNvPicPr>
                      <a:picLocks noChangeAspect="1" noChangeArrowheads="1"/>
                    </pic:cNvPicPr>
                  </pic:nvPicPr>
                  <pic:blipFill>
                    <a:blip r:embed="rId15"/>
                    <a:srcRect l="0" t="17659" r="0" b="13464"/>
                    <a:stretch>
                      <a:fillRect/>
                    </a:stretch>
                  </pic:blipFill>
                  <pic:spPr bwMode="auto">
                    <a:xfrm>
                      <a:off x="0" y="0"/>
                      <a:ext cx="5231765" cy="1828800"/>
                    </a:xfrm>
                    <a:prstGeom prst="rect">
                      <a:avLst/>
                    </a:prstGeom>
                  </pic:spPr>
                </pic:pic>
              </a:graphicData>
            </a:graphic>
          </wp:inline>
        </w:drawing>
      </w:r>
    </w:p>
    <w:p>
      <w:pPr>
        <w:pStyle w:val="ListParagraph"/>
        <w:jc w:val="center"/>
        <w:rPr>
          <w:sz w:val="20"/>
          <w:szCs w:val="20"/>
        </w:rPr>
      </w:pPr>
      <w:r>
        <w:rPr>
          <w:sz w:val="20"/>
          <w:szCs w:val="20"/>
        </w:rPr>
        <w:t>Fonte: Peixoto (2010).</w:t>
      </w:r>
    </w:p>
    <w:p>
      <w:pPr>
        <w:pStyle w:val="Normal"/>
        <w:rPr/>
      </w:pPr>
      <w:r>
        <w:rPr/>
      </w:r>
    </w:p>
    <w:p>
      <w:pPr>
        <w:pStyle w:val="ListParagraph"/>
        <w:rPr/>
      </w:pPr>
      <w:r>
        <w:rPr/>
        <w:t>Em consequência, a NR-18 dispõe de algumas obrigatoriedades referentes a sinalização em canteiros de obras, tratando-se de identificações como: locais de apoio, saídas de emergência, obrigatoriedades do uso de equipamentos de proteção individual (EPI), circulação de veículos, bem como substâncias tóxicas explosivas, dentre outras sinalizações obrigatória (Brasil, 2021).</w:t>
      </w:r>
    </w:p>
    <w:p>
      <w:pPr>
        <w:pStyle w:val="ListParagraph"/>
        <w:rPr/>
      </w:pPr>
      <w:r>
        <w:rPr/>
        <w:t>Domingues e Villarinho (2022) verificaram a aplicação da NR-18 em cinco canteiros de obras de pequeno porte na cidade de Trindade, no estado de Goiás.</w:t>
      </w:r>
      <w:r>
        <w:rPr>
          <w:rFonts w:cs="Segoe UI" w:ascii="Segoe UI" w:hAnsi="Segoe UI"/>
          <w:color w:val="374151"/>
          <w:shd w:fill="F7F7F8" w:val="clear"/>
        </w:rPr>
        <w:t xml:space="preserve"> </w:t>
      </w:r>
      <w:r>
        <w:rPr/>
        <w:t xml:space="preserve">Utilizando uma ficha de verificação de itens, constataram que nenhum dos canteiros analisados apresentava sinalização de segurança, alertando sobre os riscos presentes nas instalações. </w:t>
      </w:r>
    </w:p>
    <w:p>
      <w:pPr>
        <w:pStyle w:val="Ttulo4"/>
        <w:rPr/>
      </w:pPr>
      <w:bookmarkStart w:id="73" w:name="_Toc153611165"/>
      <w:bookmarkStart w:id="74" w:name="_Toc136701963"/>
      <w:r>
        <w:rPr/>
        <w:t>2.3.2.8 Capacitação</w:t>
      </w:r>
      <w:bookmarkEnd w:id="74"/>
      <w:r>
        <w:rPr/>
        <w:t xml:space="preserve"> de colaboradores</w:t>
      </w:r>
      <w:bookmarkEnd w:id="73"/>
      <w:r>
        <w:rPr/>
        <w:t xml:space="preserve"> </w:t>
      </w:r>
    </w:p>
    <w:p>
      <w:pPr>
        <w:pStyle w:val="ListParagraph"/>
        <w:rPr/>
      </w:pPr>
      <w:r>
        <w:rPr/>
        <w:t>É dever do empregador proporcionar a capacitação e treinamento adequado aos seus colaboradores (Brasil, 2022a). Nesse contexto, a NR-18 evidencia que é preciso que os treinamentos incluam avaliações para medir o conhecimento adquirido pelo colaborador (Brasil,2021).</w:t>
      </w:r>
    </w:p>
    <w:p>
      <w:pPr>
        <w:pStyle w:val="ListParagraph"/>
        <w:rPr/>
      </w:pPr>
      <w:r>
        <w:rPr/>
        <w:t>Urias (2020) realizou uma análise da aplicação da NR-18 em um grupo de doze obras, na cidade de Rio Verde, no estado de Goiás, e verificou que cerca de 34,5% dos colaboradores que foram entrevistados não possuem nenhum tipo de treinamento, como treinamento admissional, NR-35 (trabalho em altura) e NR-10 (instalações elétricas). Concomitantemente, a falta de conhecimento contribui para a ocorrência de atos inseguros no canteiro, aumentando o risco de acidentes por falta de preparo.</w:t>
      </w:r>
    </w:p>
    <w:p>
      <w:pPr>
        <w:pStyle w:val="ListParagraph"/>
        <w:rPr/>
      </w:pPr>
      <w:r>
        <w:rPr/>
        <w:t>Domingues e Villarinho (2022) analisaram cinco canteiros de obras e constataram que em nenhum dos canteiros os colaboradores possuíam treinamento de acordo com a norma regulamentadora. Salienta-se que o empregador é responsável por garantir o cumprimento das medidas propostas pela NR-18 em canteiro de obras, bem como pela necessidade de treinar e conscientizar os trabalhadores sobre a importância do uso contínuo dos dispositivos de segurança, a fim de manter a segurança dos processos realizados.</w:t>
      </w:r>
    </w:p>
    <w:p>
      <w:pPr>
        <w:pStyle w:val="ListParagraph"/>
        <w:rPr/>
      </w:pPr>
      <w:r>
        <w:rPr/>
      </w:r>
    </w:p>
    <w:p>
      <w:pPr>
        <w:pStyle w:val="ListParagraph"/>
        <w:rPr/>
      </w:pPr>
      <w:r>
        <w:rPr/>
      </w:r>
    </w:p>
    <w:p>
      <w:pPr>
        <w:pStyle w:val="ListParagraph"/>
        <w:rPr/>
      </w:pPr>
      <w:r>
        <w:rPr/>
      </w:r>
    </w:p>
    <w:p>
      <w:pPr>
        <w:pStyle w:val="ListParagraph"/>
        <w:rPr/>
      </w:pPr>
      <w:r>
        <w:rPr/>
      </w:r>
    </w:p>
    <w:p>
      <w:pPr>
        <w:pStyle w:val="ListParagraph"/>
        <w:rPr/>
      </w:pPr>
      <w:r>
        <w:rPr/>
      </w:r>
    </w:p>
    <w:p>
      <w:pPr>
        <w:pStyle w:val="ListParagraph"/>
        <w:rPr/>
      </w:pPr>
      <w:r>
        <w:rPr/>
      </w:r>
    </w:p>
    <w:p>
      <w:pPr>
        <w:pStyle w:val="Normal"/>
        <w:spacing w:lineRule="auto" w:line="259" w:before="0" w:after="160"/>
        <w:jc w:val="left"/>
        <w:rPr>
          <w:rFonts w:eastAsia="" w:cs="" w:cstheme="majorBidi" w:eastAsiaTheme="majorEastAsia"/>
          <w:b/>
          <w:b/>
          <w:szCs w:val="32"/>
        </w:rPr>
      </w:pPr>
      <w:r>
        <w:rPr>
          <w:rFonts w:eastAsia="" w:cs="" w:cstheme="majorBidi" w:eastAsiaTheme="majorEastAsia"/>
          <w:b/>
          <w:szCs w:val="32"/>
        </w:rPr>
      </w:r>
      <w:bookmarkStart w:id="75" w:name="_Toc136701964"/>
      <w:bookmarkStart w:id="76" w:name="_Toc136701964"/>
      <w:r>
        <w:br w:type="page"/>
      </w:r>
    </w:p>
    <w:p>
      <w:pPr>
        <w:pStyle w:val="Ttulo1"/>
        <w:rPr/>
      </w:pPr>
      <w:bookmarkStart w:id="77" w:name="_Toc136701964"/>
      <w:bookmarkStart w:id="78" w:name="_Toc153611166"/>
      <w:r>
        <w:rPr/>
        <w:t>3 METODOLOGIA</w:t>
      </w:r>
      <w:bookmarkEnd w:id="77"/>
      <w:bookmarkEnd w:id="78"/>
    </w:p>
    <w:p>
      <w:pPr>
        <w:pStyle w:val="ListParagraph"/>
        <w:rPr/>
      </w:pPr>
      <w:r>
        <w:rPr/>
        <w:t xml:space="preserve">Neste capítulo, é apresentado o modelo de </w:t>
      </w:r>
      <w:r>
        <w:rPr>
          <w:i/>
          <w:iCs/>
        </w:rPr>
        <w:t xml:space="preserve">checklist </w:t>
      </w:r>
      <w:r>
        <w:rPr/>
        <w:t xml:space="preserve">que utilizado para o desenvolvimento do trabalho, bem como quais tópicos da NR-18 que são abordados e a fase das obras que foi definido como objeto de análise.  </w:t>
      </w:r>
    </w:p>
    <w:p>
      <w:pPr>
        <w:pStyle w:val="Normal"/>
        <w:rPr/>
      </w:pPr>
      <w:r>
        <w:rPr/>
      </w:r>
    </w:p>
    <w:p>
      <w:pPr>
        <w:pStyle w:val="Ttulo2"/>
        <w:rPr/>
      </w:pPr>
      <w:bookmarkStart w:id="79" w:name="_Toc153611167"/>
      <w:bookmarkStart w:id="80" w:name="_Toc136701965"/>
      <w:r>
        <w:rPr/>
        <w:t>3.1 MATERIAIS E MÉTODOS</w:t>
      </w:r>
      <w:bookmarkEnd w:id="79"/>
      <w:bookmarkEnd w:id="80"/>
      <w:r>
        <w:rPr/>
        <w:t xml:space="preserve"> </w:t>
      </w:r>
    </w:p>
    <w:p>
      <w:pPr>
        <w:pStyle w:val="ListParagraph"/>
        <w:rPr/>
      </w:pPr>
      <w:r>
        <w:rPr/>
        <w:t xml:space="preserve">Para o desenvolvimento deste trabalho foram realizadas visitas </w:t>
      </w:r>
      <w:r>
        <w:rPr>
          <w:i/>
          <w:iCs/>
        </w:rPr>
        <w:t>in loco</w:t>
      </w:r>
      <w:r>
        <w:rPr/>
        <w:t xml:space="preserve">, em 05 (cinco) canteiros de obras verticais na cidade Goiânia/GO, a fim de verificar a aplicabilidade dos principais itens da NR-18 em cada um deles. </w:t>
      </w:r>
    </w:p>
    <w:p>
      <w:pPr>
        <w:pStyle w:val="ListParagraph"/>
        <w:rPr/>
      </w:pPr>
      <w:r>
        <w:rPr/>
        <w:t xml:space="preserve">Nesse contexto, a </w:t>
      </w:r>
      <w:r>
        <w:rPr/>
        <w:fldChar w:fldCharType="begin"/>
      </w:r>
      <w:r>
        <w:rPr/>
        <w:instrText> REF _Ref143805816 \h </w:instrText>
      </w:r>
      <w:r>
        <w:rPr/>
        <w:fldChar w:fldCharType="separate"/>
      </w:r>
      <w:r>
        <w:rPr/>
        <w:t>Figura 8</w:t>
      </w:r>
      <w:r>
        <w:rPr/>
        <w:fldChar w:fldCharType="end"/>
      </w:r>
      <w:r>
        <w:rPr/>
        <w:t xml:space="preserve"> destaca a localização dos cinco canteiros de obras que são o foco deste estudo. Esses canteiros estão situados nos seguintes bairros da cidade de Goiânia, Goiás: Setor Bueno (Obra A e Obra D), Setor Marista (Obra B e Obra C) e Setor Aeroporto (Obra E). </w:t>
      </w:r>
    </w:p>
    <w:p>
      <w:pPr>
        <w:pStyle w:val="ListParagraph"/>
        <w:rPr/>
      </w:pPr>
      <w:r>
        <w:rPr/>
      </w:r>
    </w:p>
    <w:p>
      <w:pPr>
        <w:pStyle w:val="EstiloLegenda"/>
        <w:rPr/>
      </w:pPr>
      <w:bookmarkStart w:id="81" w:name="_Toc153611291"/>
      <w:bookmarkStart w:id="82" w:name="_Ref143805816"/>
      <w:r>
        <w:rPr/>
        <w:t xml:space="preserve">Figura </w:t>
      </w:r>
      <w:r>
        <w:rPr/>
        <w:fldChar w:fldCharType="begin"/>
      </w:r>
      <w:r>
        <w:rPr/>
        <w:instrText> SEQ Figura \* ARABIC </w:instrText>
      </w:r>
      <w:r>
        <w:rPr/>
        <w:fldChar w:fldCharType="separate"/>
      </w:r>
      <w:r>
        <w:rPr/>
        <w:t>8</w:t>
      </w:r>
      <w:r>
        <w:rPr/>
        <w:fldChar w:fldCharType="end"/>
      </w:r>
      <w:bookmarkEnd w:id="82"/>
      <w:r>
        <w:rPr/>
        <w:t xml:space="preserve"> – Localização dos canteiros de obras analisados.</w:t>
      </w:r>
      <w:bookmarkEnd w:id="81"/>
    </w:p>
    <w:p>
      <w:pPr>
        <w:pStyle w:val="EstiloLegenda"/>
        <w:rPr/>
      </w:pPr>
      <w:r>
        <w:rPr/>
        <w:drawing>
          <wp:inline distT="0" distB="0" distL="0" distR="0">
            <wp:extent cx="3780155" cy="4324350"/>
            <wp:effectExtent l="0" t="0" r="0" b="0"/>
            <wp:docPr id="15" name="Imagem 70910372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m 709103728" descr=""/>
                    <pic:cNvPicPr>
                      <a:picLocks noChangeAspect="1" noChangeArrowheads="1"/>
                    </pic:cNvPicPr>
                  </pic:nvPicPr>
                  <pic:blipFill>
                    <a:blip r:embed="rId16"/>
                    <a:stretch>
                      <a:fillRect/>
                    </a:stretch>
                  </pic:blipFill>
                  <pic:spPr bwMode="auto">
                    <a:xfrm>
                      <a:off x="0" y="0"/>
                      <a:ext cx="3780155" cy="4324350"/>
                    </a:xfrm>
                    <a:prstGeom prst="rect">
                      <a:avLst/>
                    </a:prstGeom>
                  </pic:spPr>
                </pic:pic>
              </a:graphicData>
            </a:graphic>
          </wp:inline>
        </w:drawing>
      </w:r>
    </w:p>
    <w:p>
      <w:pPr>
        <w:pStyle w:val="ListParagraph"/>
        <w:ind w:hanging="0"/>
        <w:jc w:val="center"/>
        <w:rPr>
          <w:sz w:val="20"/>
          <w:szCs w:val="20"/>
        </w:rPr>
      </w:pPr>
      <w:r>
        <w:rPr>
          <w:sz w:val="20"/>
          <w:szCs w:val="20"/>
        </w:rPr>
        <w:t>Fonte: SIGGO (2023).</w:t>
      </w:r>
    </w:p>
    <w:p>
      <w:pPr>
        <w:pStyle w:val="ListParagraph"/>
        <w:rPr/>
      </w:pPr>
      <w:r>
        <w:rPr/>
        <w:t xml:space="preserve">Ademais, a fim de verificar a aplicabilidade da NR-18 nos canteiros de obra em questão, utilizou-se um </w:t>
      </w:r>
      <w:r>
        <w:rPr>
          <w:i/>
          <w:iCs/>
        </w:rPr>
        <w:t>checklist</w:t>
      </w:r>
      <w:r>
        <w:rPr/>
        <w:t xml:space="preserve"> (lista de verificação) elaborado com os principais pontos da NR-18 a serem avaliados em cada canteiro. </w:t>
      </w:r>
    </w:p>
    <w:p>
      <w:pPr>
        <w:pStyle w:val="ListParagraph"/>
        <w:rPr/>
      </w:pPr>
      <w:r>
        <w:rPr/>
        <w:t>Nesse sentido, visando padronizar os dados, as obras analisadas estavam na mesma fase construtiva, isto é, na etapa de fundação. Além disso, apenas foram consideradas as obras que contavam com uma equipe efetiva de mais de vinte colaboradores no canteiro de obra.</w:t>
      </w:r>
    </w:p>
    <w:p>
      <w:pPr>
        <w:pStyle w:val="ListParagraph"/>
        <w:rPr/>
      </w:pPr>
      <w:r>
        <w:rPr/>
        <w:t xml:space="preserve">Assim, foi verificado se os canteiros de obras atendiam aos itens descritos na ficha de avaliação, isto é, se estavam de acordo ou não com a NR-18 no que se refere a etapa construtiva supramencionada. Além disso, foram realizados registros fotográficos com propósito de formalizar as principais conformidades e/ou não conformidades constatadas durante as visitas </w:t>
      </w:r>
      <w:r>
        <w:rPr>
          <w:i/>
          <w:iCs/>
        </w:rPr>
        <w:t>in loco</w:t>
      </w:r>
      <w:r>
        <w:rPr/>
        <w:t>.</w:t>
      </w:r>
    </w:p>
    <w:p>
      <w:pPr>
        <w:pStyle w:val="ListParagraph"/>
        <w:rPr/>
      </w:pPr>
      <w:r>
        <w:rPr/>
        <w:t xml:space="preserve">Dessa forma, a metodologia deste trabalho se conforma em quantitativa, por se tratar de análises de dados coletados </w:t>
      </w:r>
      <w:r>
        <w:rPr>
          <w:i/>
          <w:iCs/>
        </w:rPr>
        <w:t>in loco</w:t>
      </w:r>
      <w:r>
        <w:rPr/>
        <w:t>, e, de certa forma, em qualitativa, uma vez que serão apresentadas possíveis soluções para as não conformidades encontradas.</w:t>
      </w:r>
    </w:p>
    <w:p>
      <w:pPr>
        <w:pStyle w:val="ListParagraph"/>
        <w:rPr/>
      </w:pPr>
      <w:r>
        <w:rPr/>
        <w:t xml:space="preserve">O </w:t>
      </w:r>
      <w:r>
        <w:rPr/>
        <w:fldChar w:fldCharType="begin"/>
      </w:r>
      <w:r>
        <w:rPr/>
        <w:instrText> REF _Ref136185560 \h </w:instrText>
      </w:r>
      <w:r>
        <w:rPr/>
        <w:fldChar w:fldCharType="separate"/>
      </w:r>
      <w:r>
        <w:rPr/>
        <w:t>Quadro 1</w:t>
      </w:r>
      <w:r>
        <w:rPr/>
        <w:fldChar w:fldCharType="end"/>
      </w:r>
      <w:r>
        <w:rPr/>
        <w:t xml:space="preserve"> ilustra o </w:t>
      </w:r>
      <w:r>
        <w:rPr>
          <w:i/>
          <w:iCs/>
        </w:rPr>
        <w:t>checklist</w:t>
      </w:r>
      <w:r>
        <w:rPr/>
        <w:t xml:space="preserve"> que será utilizado como referência da norma para análise posterior dos resultados. </w:t>
      </w:r>
    </w:p>
    <w:p>
      <w:pPr>
        <w:pStyle w:val="Normal"/>
        <w:rPr/>
      </w:pPr>
      <w:r>
        <w:rPr/>
      </w:r>
    </w:p>
    <w:p>
      <w:pPr>
        <w:pStyle w:val="EstiloLegenda"/>
        <w:rPr/>
      </w:pPr>
      <w:bookmarkStart w:id="83" w:name="_Toc153384324"/>
      <w:bookmarkStart w:id="84" w:name="_Ref145618110"/>
      <w:bookmarkStart w:id="85" w:name="_Ref136185560"/>
      <w:r>
        <w:rPr/>
        <w:t xml:space="preserve">Quadro </w:t>
      </w:r>
      <w:r>
        <w:rPr/>
        <w:fldChar w:fldCharType="begin"/>
      </w:r>
      <w:r>
        <w:rPr/>
        <w:instrText> SEQ Quadro \* ARABIC </w:instrText>
      </w:r>
      <w:r>
        <w:rPr/>
        <w:fldChar w:fldCharType="separate"/>
      </w:r>
      <w:r>
        <w:rPr/>
        <w:t>1</w:t>
      </w:r>
      <w:r>
        <w:rPr/>
        <w:fldChar w:fldCharType="end"/>
      </w:r>
      <w:bookmarkEnd w:id="85"/>
      <w:r>
        <w:rPr/>
        <w:t xml:space="preserve">  – </w:t>
      </w:r>
      <w:r>
        <w:rPr>
          <w:i/>
          <w:iCs w:val="false"/>
        </w:rPr>
        <w:t>Checklist</w:t>
      </w:r>
      <w:r>
        <w:rPr/>
        <w:t xml:space="preserve"> de análise da NR-18 em branco</w:t>
      </w:r>
      <w:bookmarkEnd w:id="83"/>
      <w:bookmarkEnd w:id="84"/>
    </w:p>
    <w:p>
      <w:pPr>
        <w:pStyle w:val="EstiloLegenda"/>
        <w:jc w:val="left"/>
        <w:rPr/>
      </w:pPr>
      <w:r>
        <w:rPr/>
        <w:t xml:space="preserve">                                                          </w:t>
      </w:r>
      <w:r>
        <w:rPr/>
        <w:t>(continua)</w:t>
      </w:r>
    </w:p>
    <w:p>
      <w:pPr>
        <w:pStyle w:val="EstiloLegenda"/>
        <w:jc w:val="left"/>
        <w:rPr/>
      </w:pPr>
      <w:r>
        <w:rPr/>
        <w:drawing>
          <wp:inline distT="0" distB="0" distL="0" distR="0">
            <wp:extent cx="5760085" cy="3344545"/>
            <wp:effectExtent l="0" t="0" r="0" b="0"/>
            <wp:docPr id="16" name="Imagem 7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m 76" descr=""/>
                    <pic:cNvPicPr>
                      <a:picLocks noChangeAspect="1" noChangeArrowheads="1"/>
                    </pic:cNvPicPr>
                  </pic:nvPicPr>
                  <pic:blipFill>
                    <a:blip r:embed="rId17"/>
                    <a:stretch>
                      <a:fillRect/>
                    </a:stretch>
                  </pic:blipFill>
                  <pic:spPr bwMode="auto">
                    <a:xfrm>
                      <a:off x="0" y="0"/>
                      <a:ext cx="5760085" cy="3344545"/>
                    </a:xfrm>
                    <a:prstGeom prst="rect">
                      <a:avLst/>
                    </a:prstGeom>
                  </pic:spPr>
                </pic:pic>
              </a:graphicData>
            </a:graphic>
          </wp:inline>
        </w:drawing>
      </w:r>
    </w:p>
    <w:p>
      <w:pPr>
        <w:pStyle w:val="Normal"/>
        <w:rPr/>
      </w:pPr>
      <w:r>
        <w:rPr/>
      </w:r>
    </w:p>
    <w:p>
      <w:pPr>
        <w:pStyle w:val="EstiloLegenda"/>
        <w:rPr/>
      </w:pPr>
      <w:r>
        <w:rPr/>
      </w:r>
    </w:p>
    <w:p>
      <w:pPr>
        <w:pStyle w:val="EstiloLegenda"/>
        <w:rPr/>
      </w:pPr>
      <w:r>
        <w:rPr/>
        <w:t xml:space="preserve">Quadro 1 – </w:t>
      </w:r>
      <w:r>
        <w:rPr>
          <w:i/>
          <w:iCs w:val="false"/>
        </w:rPr>
        <w:t xml:space="preserve">Checklist </w:t>
      </w:r>
      <w:r>
        <w:rPr/>
        <w:t xml:space="preserve">de análise da NR-18 em branco </w:t>
      </w:r>
    </w:p>
    <w:p>
      <w:pPr>
        <w:pStyle w:val="EstiloLegenda"/>
        <w:jc w:val="both"/>
        <w:rPr/>
      </w:pPr>
      <w:r>
        <w:rPr/>
        <w:tab/>
        <w:tab/>
        <w:tab/>
        <w:tab/>
        <w:t xml:space="preserve">        (continuação).</w:t>
      </w:r>
    </w:p>
    <w:p>
      <w:pPr>
        <w:pStyle w:val="EstiloLegenda"/>
        <w:jc w:val="both"/>
        <w:rPr/>
      </w:pPr>
      <w:r>
        <w:rPr/>
      </w:r>
    </w:p>
    <w:p>
      <w:pPr>
        <w:pStyle w:val="EstiloLegenda"/>
        <w:jc w:val="both"/>
        <w:rPr/>
      </w:pPr>
      <w:r>
        <w:rPr/>
        <w:drawing>
          <wp:inline distT="0" distB="0" distL="0" distR="0">
            <wp:extent cx="5760085" cy="8420100"/>
            <wp:effectExtent l="0" t="0" r="0" b="0"/>
            <wp:docPr id="17" name="Imagem 7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m 79" descr=""/>
                    <pic:cNvPicPr>
                      <a:picLocks noChangeAspect="1" noChangeArrowheads="1"/>
                    </pic:cNvPicPr>
                  </pic:nvPicPr>
                  <pic:blipFill>
                    <a:blip r:embed="rId18"/>
                    <a:stretch>
                      <a:fillRect/>
                    </a:stretch>
                  </pic:blipFill>
                  <pic:spPr bwMode="auto">
                    <a:xfrm>
                      <a:off x="0" y="0"/>
                      <a:ext cx="5760085" cy="8420100"/>
                    </a:xfrm>
                    <a:prstGeom prst="rect">
                      <a:avLst/>
                    </a:prstGeom>
                  </pic:spPr>
                </pic:pic>
              </a:graphicData>
            </a:graphic>
          </wp:inline>
        </w:drawing>
      </w:r>
    </w:p>
    <w:p>
      <w:pPr>
        <w:pStyle w:val="EstiloLegenda"/>
        <w:rPr/>
      </w:pPr>
      <w:r>
        <w:rPr/>
        <w:t xml:space="preserve">Quadro 1 – </w:t>
      </w:r>
      <w:r>
        <w:rPr>
          <w:i/>
          <w:iCs w:val="false"/>
        </w:rPr>
        <w:t xml:space="preserve">Checklist </w:t>
      </w:r>
      <w:r>
        <w:rPr/>
        <w:t xml:space="preserve">de análise da NR-18 em branco </w:t>
      </w:r>
    </w:p>
    <w:p>
      <w:pPr>
        <w:pStyle w:val="EstiloLegenda"/>
        <w:jc w:val="both"/>
        <w:rPr/>
      </w:pPr>
      <w:r>
        <w:rPr/>
        <w:tab/>
        <w:tab/>
        <w:tab/>
        <w:tab/>
        <w:t xml:space="preserve">        (conclusão).</w:t>
      </w:r>
    </w:p>
    <w:p>
      <w:pPr>
        <w:pStyle w:val="EstiloLegenda"/>
        <w:jc w:val="both"/>
        <w:rPr/>
      </w:pPr>
      <w:r>
        <w:rPr/>
        <w:drawing>
          <wp:inline distT="0" distB="0" distL="0" distR="0">
            <wp:extent cx="5760085" cy="7710805"/>
            <wp:effectExtent l="0" t="0" r="0" b="0"/>
            <wp:docPr id="18" name="Imagem 8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m 80" descr=""/>
                    <pic:cNvPicPr>
                      <a:picLocks noChangeAspect="1" noChangeArrowheads="1"/>
                    </pic:cNvPicPr>
                  </pic:nvPicPr>
                  <pic:blipFill>
                    <a:blip r:embed="rId19"/>
                    <a:stretch>
                      <a:fillRect/>
                    </a:stretch>
                  </pic:blipFill>
                  <pic:spPr bwMode="auto">
                    <a:xfrm>
                      <a:off x="0" y="0"/>
                      <a:ext cx="5760085" cy="7710805"/>
                    </a:xfrm>
                    <a:prstGeom prst="rect">
                      <a:avLst/>
                    </a:prstGeom>
                  </pic:spPr>
                </pic:pic>
              </a:graphicData>
            </a:graphic>
          </wp:inline>
        </w:drawing>
      </w:r>
    </w:p>
    <w:p>
      <w:pPr>
        <w:pStyle w:val="ListParagraph"/>
        <w:ind w:hanging="0"/>
        <w:jc w:val="center"/>
        <w:rPr>
          <w:rFonts w:cs="Arial"/>
          <w:color w:val="000000" w:themeColor="text1"/>
          <w:sz w:val="20"/>
          <w:szCs w:val="20"/>
        </w:rPr>
      </w:pPr>
      <w:r>
        <w:rPr>
          <w:rFonts w:cs="Arial"/>
          <w:color w:val="000000" w:themeColor="text1"/>
          <w:sz w:val="20"/>
          <w:szCs w:val="20"/>
        </w:rPr>
        <w:t>Fonte: Autor próprio (2023).</w:t>
      </w:r>
    </w:p>
    <w:p>
      <w:pPr>
        <w:pStyle w:val="ListParagraph"/>
        <w:ind w:hanging="0"/>
        <w:jc w:val="center"/>
        <w:rPr>
          <w:rFonts w:cs="Arial"/>
          <w:color w:val="000000" w:themeColor="text1"/>
          <w:sz w:val="20"/>
          <w:szCs w:val="20"/>
        </w:rPr>
      </w:pPr>
      <w:r>
        <w:rPr>
          <w:rFonts w:cs="Arial"/>
          <w:color w:val="000000" w:themeColor="text1"/>
          <w:sz w:val="20"/>
          <w:szCs w:val="20"/>
        </w:rPr>
      </w:r>
    </w:p>
    <w:p>
      <w:pPr>
        <w:pStyle w:val="ListParagraph"/>
        <w:ind w:firstLine="708"/>
        <w:rPr/>
      </w:pPr>
      <w:r>
        <w:rPr/>
        <w:t>Os dados adquiridos passaram por uma análise detalhada e foram organizados em gráficos. Esses gráficos permitiram avaliar o grau de conformidade dos elementos de acordo com os critérios estabelecidos na NR-18. Dessa maneira, foi possível identificar quais obras apresentaram maior número de não conformidades e, por contraste, aquelas que demonstraram maior conformidade.</w:t>
      </w:r>
    </w:p>
    <w:p>
      <w:pPr>
        <w:pStyle w:val="ListParagraph"/>
        <w:rPr/>
      </w:pPr>
      <w:r>
        <w:rPr/>
        <w:t xml:space="preserve">Para a avaliação dos itens avaliados, sejam eles, conformes, não conformes ou parciais, obtida por cada canteiro de obra, considerou-se como critérios a soma de todos os itens avaliados menos a soma dos itens não avaliados (aqueles que não são possíveis de serem avaliados, seja pela etapa da obra, seja porque a obra não possui naquele momento, um exemplo é a utilização de andaimes e plataformas de trabalho) e, por fim, foi realizada a proporcionalidade dos itens conformes e não conformes. A Equação 1 e a Equação 2 apresenta a formulação supracitada. </w:t>
      </w:r>
    </w:p>
    <w:p>
      <w:pPr>
        <w:pStyle w:val="ListParagraph"/>
        <w:rPr/>
      </w:pPr>
      <w:r>
        <w:rPr/>
      </w:r>
    </w:p>
    <w:p>
      <w:pPr>
        <w:pStyle w:val="ListParagraph"/>
        <w:rPr>
          <w:rFonts w:eastAsia="" w:eastAsiaTheme="minorEastAsia"/>
        </w:rPr>
      </w:pPr>
      <w:r>
        <w:rPr/>
      </w:r>
      <m:oMath xmlns:m="http://schemas.openxmlformats.org/officeDocument/2006/math">
        <m:r>
          <w:rPr>
            <w:rFonts w:ascii="Cambria Math" w:hAnsi="Cambria Math"/>
          </w:rPr>
          <m:t xml:space="preserve">Itens</m:t>
        </m:r>
        <m:r>
          <w:rPr>
            <w:rFonts w:ascii="Cambria Math" w:hAnsi="Cambria Math"/>
          </w:rPr>
          <m:t xml:space="preserve">conformes</m:t>
        </m:r>
        <m:r>
          <w:rPr>
            <w:rFonts w:ascii="Cambria Math" w:hAnsi="Cambria Math"/>
          </w:rPr>
          <m:t xml:space="preserve">=</m:t>
        </m:r>
        <m:d>
          <m:dPr>
            <m:begChr m:val="("/>
            <m:endChr m:val=")"/>
          </m:dPr>
          <m:e>
            <m:f>
              <m:num>
                <m:nary>
                  <m:naryPr>
                    <m:chr m:val="∑"/>
                    <m:subHide m:val="1"/>
                    <m:supHide m:val="1"/>
                  </m:naryPr>
                  <m:sub/>
                  <m:sup/>
                  <m:e>
                    <m:r>
                      <w:rPr>
                        <w:rFonts w:ascii="Cambria Math" w:hAnsi="Cambria Math"/>
                      </w:rPr>
                      <m:t xml:space="preserve">Itens</m:t>
                    </m:r>
                    <m:r>
                      <w:rPr>
                        <w:rFonts w:ascii="Cambria Math" w:hAnsi="Cambria Math"/>
                      </w:rPr>
                      <m:t xml:space="preserve">conformes</m:t>
                    </m:r>
                  </m:e>
                </m:nary>
              </m:num>
              <m:den>
                <m:r>
                  <w:rPr>
                    <w:rFonts w:ascii="Cambria Math" w:hAnsi="Cambria Math"/>
                  </w:rPr>
                  <m:t xml:space="preserve">total</m:t>
                </m:r>
                <m:r>
                  <w:rPr>
                    <w:rFonts w:ascii="Cambria Math" w:hAnsi="Cambria Math"/>
                  </w:rPr>
                  <m:t xml:space="preserve">de</m:t>
                </m:r>
                <m:r>
                  <w:rPr>
                    <w:rFonts w:ascii="Cambria Math" w:hAnsi="Cambria Math"/>
                  </w:rPr>
                  <m:t xml:space="preserve">itens</m:t>
                </m:r>
                <m:r>
                  <w:rPr>
                    <w:rFonts w:ascii="Cambria Math" w:hAnsi="Cambria Math"/>
                  </w:rPr>
                  <m:t xml:space="preserve">−</m:t>
                </m:r>
                <m:nary>
                  <m:naryPr>
                    <m:chr m:val="∑"/>
                    <m:subHide m:val="1"/>
                    <m:supHide m:val="1"/>
                  </m:naryPr>
                  <m:sub/>
                  <m:sup/>
                  <m:e>
                    <m:r>
                      <w:rPr>
                        <w:rFonts w:ascii="Cambria Math" w:hAnsi="Cambria Math"/>
                      </w:rPr>
                      <m:t xml:space="preserve">Itens</m:t>
                    </m:r>
                    <m:r>
                      <w:rPr>
                        <w:rFonts w:ascii="Cambria Math" w:hAnsi="Cambria Math"/>
                      </w:rPr>
                      <m:t xml:space="preserve">não</m:t>
                    </m:r>
                    <m:r>
                      <w:rPr>
                        <w:rFonts w:ascii="Cambria Math" w:hAnsi="Cambria Math"/>
                      </w:rPr>
                      <m:t xml:space="preserve">avaliados</m:t>
                    </m:r>
                  </m:e>
                </m:nary>
              </m:den>
            </m:f>
          </m:e>
        </m:d>
        <m:r>
          <w:rPr>
            <w:rFonts w:ascii="Cambria Math" w:hAnsi="Cambria Math"/>
          </w:rPr>
          <m:t xml:space="preserve">∗</m:t>
        </m:r>
        <m:r>
          <w:rPr>
            <w:rFonts w:ascii="Cambria Math" w:hAnsi="Cambria Math"/>
          </w:rPr>
          <m:t xml:space="preserve">100</m:t>
        </m:r>
        <m:d>
          <m:dPr>
            <m:begChr m:val="("/>
            <m:endChr m:val=")"/>
          </m:dPr>
          <m:e>
            <m:r>
              <w:rPr>
                <w:rFonts w:ascii="Cambria Math" w:hAnsi="Cambria Math"/>
              </w:rPr>
              <m:t xml:space="preserve">1</m:t>
            </m:r>
          </m:e>
        </m:d>
      </m:oMath>
    </w:p>
    <w:p>
      <w:pPr>
        <w:pStyle w:val="Normal"/>
        <w:rPr>
          <w:rFonts w:eastAsia="" w:eastAsiaTheme="minorEastAsia"/>
          <w:iCs/>
        </w:rPr>
      </w:pPr>
      <w:r>
        <w:rPr>
          <w:rFonts w:eastAsia="" w:eastAsiaTheme="minorEastAsia"/>
          <w:iCs/>
        </w:rPr>
      </w:r>
    </w:p>
    <w:p>
      <w:pPr>
        <w:pStyle w:val="ListParagraph"/>
        <w:rPr/>
      </w:pPr>
      <w:r>
        <w:rPr/>
      </w:r>
    </w:p>
    <w:p>
      <w:pPr>
        <w:pStyle w:val="ListParagraph"/>
        <w:rPr>
          <w:rFonts w:eastAsia="" w:eastAsiaTheme="minorEastAsia"/>
        </w:rPr>
      </w:pPr>
      <w:r>
        <w:rPr/>
      </w:r>
      <m:oMath xmlns:m="http://schemas.openxmlformats.org/officeDocument/2006/math">
        <m:r>
          <w:rPr>
            <w:rFonts w:ascii="Cambria Math" w:hAnsi="Cambria Math"/>
          </w:rPr>
          <m:t xml:space="preserve">Itens</m:t>
        </m:r>
        <m:r>
          <w:rPr>
            <w:rFonts w:ascii="Cambria Math" w:hAnsi="Cambria Math"/>
          </w:rPr>
          <m:t xml:space="preserve">não</m:t>
        </m:r>
        <m:r>
          <w:rPr>
            <w:rFonts w:ascii="Cambria Math" w:hAnsi="Cambria Math"/>
          </w:rPr>
          <m:t xml:space="preserve">conformes</m:t>
        </m:r>
        <m:r>
          <w:rPr>
            <w:rFonts w:ascii="Cambria Math" w:hAnsi="Cambria Math"/>
          </w:rPr>
          <m:t xml:space="preserve">=</m:t>
        </m:r>
        <m:d>
          <m:dPr>
            <m:begChr m:val="("/>
            <m:endChr m:val=")"/>
          </m:dPr>
          <m:e>
            <m:f>
              <m:num>
                <m:nary>
                  <m:naryPr>
                    <m:chr m:val="∑"/>
                    <m:subHide m:val="1"/>
                    <m:supHide m:val="1"/>
                  </m:naryPr>
                  <m:sub/>
                  <m:sup/>
                  <m:e>
                    <m:r>
                      <w:rPr>
                        <w:rFonts w:ascii="Cambria Math" w:hAnsi="Cambria Math"/>
                      </w:rPr>
                      <m:t xml:space="preserve">Itens</m:t>
                    </m:r>
                    <m:r>
                      <w:rPr>
                        <w:rFonts w:ascii="Cambria Math" w:hAnsi="Cambria Math"/>
                      </w:rPr>
                      <m:t xml:space="preserve">não</m:t>
                    </m:r>
                    <m:r>
                      <w:rPr>
                        <w:rFonts w:ascii="Cambria Math" w:hAnsi="Cambria Math"/>
                      </w:rPr>
                      <m:t xml:space="preserve">conformes</m:t>
                    </m:r>
                  </m:e>
                </m:nary>
              </m:num>
              <m:den>
                <m:r>
                  <w:rPr>
                    <w:rFonts w:ascii="Cambria Math" w:hAnsi="Cambria Math"/>
                  </w:rPr>
                  <m:t xml:space="preserve">total</m:t>
                </m:r>
                <m:r>
                  <w:rPr>
                    <w:rFonts w:ascii="Cambria Math" w:hAnsi="Cambria Math"/>
                  </w:rPr>
                  <m:t xml:space="preserve">de</m:t>
                </m:r>
                <m:r>
                  <w:rPr>
                    <w:rFonts w:ascii="Cambria Math" w:hAnsi="Cambria Math"/>
                  </w:rPr>
                  <m:t xml:space="preserve">itens</m:t>
                </m:r>
                <m:r>
                  <w:rPr>
                    <w:rFonts w:ascii="Cambria Math" w:hAnsi="Cambria Math"/>
                  </w:rPr>
                  <m:t xml:space="preserve">−</m:t>
                </m:r>
                <m:nary>
                  <m:naryPr>
                    <m:chr m:val="∑"/>
                    <m:subHide m:val="1"/>
                    <m:supHide m:val="1"/>
                  </m:naryPr>
                  <m:sub/>
                  <m:sup/>
                  <m:e>
                    <m:r>
                      <w:rPr>
                        <w:rFonts w:ascii="Cambria Math" w:hAnsi="Cambria Math"/>
                      </w:rPr>
                      <m:t xml:space="preserve">Itens</m:t>
                    </m:r>
                    <m:r>
                      <w:rPr>
                        <w:rFonts w:ascii="Cambria Math" w:hAnsi="Cambria Math"/>
                      </w:rPr>
                      <m:t xml:space="preserve">não</m:t>
                    </m:r>
                    <m:r>
                      <w:rPr>
                        <w:rFonts w:ascii="Cambria Math" w:hAnsi="Cambria Math"/>
                      </w:rPr>
                      <m:t xml:space="preserve">avaliados</m:t>
                    </m:r>
                  </m:e>
                </m:nary>
              </m:den>
            </m:f>
          </m:e>
        </m:d>
        <m:r>
          <w:rPr>
            <w:rFonts w:ascii="Cambria Math" w:hAnsi="Cambria Math"/>
          </w:rPr>
          <m:t xml:space="preserve">∗</m:t>
        </m:r>
        <m:r>
          <w:rPr>
            <w:rFonts w:ascii="Cambria Math" w:hAnsi="Cambria Math"/>
          </w:rPr>
          <m:t xml:space="preserve">100</m:t>
        </m:r>
        <m:d>
          <m:dPr>
            <m:begChr m:val="("/>
            <m:endChr m:val=")"/>
          </m:dPr>
          <m:e>
            <m:r>
              <w:rPr>
                <w:rFonts w:ascii="Cambria Math" w:hAnsi="Cambria Math"/>
              </w:rPr>
              <m:t xml:space="preserve">2</m:t>
            </m:r>
          </m:e>
        </m:d>
      </m:oMath>
    </w:p>
    <w:p>
      <w:pPr>
        <w:pStyle w:val="Normal"/>
        <w:rPr>
          <w:rFonts w:eastAsia="" w:eastAsiaTheme="minorEastAsia"/>
          <w:iCs/>
        </w:rPr>
      </w:pPr>
      <w:r>
        <w:rPr>
          <w:rFonts w:eastAsia="" w:eastAsiaTheme="minorEastAsia"/>
          <w:iCs/>
        </w:rPr>
      </w:r>
    </w:p>
    <w:p>
      <w:pPr>
        <w:pStyle w:val="ListParagraph"/>
        <w:rPr/>
      </w:pPr>
      <w:r>
        <w:rPr/>
        <w:t>Em relação aos itens que foram avaliados como parciais (aqueles que não atenderem completamente às exigências da NR-18), como, por exemplo, um guarda-corpo de periferia que apresente a sua sinalização ausente, será utilizada a Equação 3.</w:t>
      </w:r>
    </w:p>
    <w:p>
      <w:pPr>
        <w:pStyle w:val="ListParagraph"/>
        <w:rPr/>
      </w:pPr>
      <w:r>
        <w:rPr/>
      </w:r>
    </w:p>
    <w:p>
      <w:pPr>
        <w:pStyle w:val="ListParagraph"/>
        <w:rPr>
          <w:rFonts w:eastAsia="" w:eastAsiaTheme="minorEastAsia"/>
        </w:rPr>
      </w:pPr>
      <w:r>
        <w:rPr/>
      </w:r>
      <m:oMath xmlns:m="http://schemas.openxmlformats.org/officeDocument/2006/math">
        <m:r>
          <w:rPr>
            <w:rFonts w:ascii="Cambria Math" w:hAnsi="Cambria Math"/>
          </w:rPr>
          <m:t xml:space="preserve">Itens</m:t>
        </m:r>
        <m:r>
          <w:rPr>
            <w:rFonts w:ascii="Cambria Math" w:hAnsi="Cambria Math"/>
          </w:rPr>
          <m:t xml:space="preserve">parciais</m:t>
        </m:r>
        <m:r>
          <w:rPr>
            <w:rFonts w:ascii="Cambria Math" w:hAnsi="Cambria Math"/>
          </w:rPr>
          <m:t xml:space="preserve">=</m:t>
        </m:r>
        <m:d>
          <m:dPr>
            <m:begChr m:val="("/>
            <m:endChr m:val=")"/>
          </m:dPr>
          <m:e>
            <m:f>
              <m:num>
                <m:nary>
                  <m:naryPr>
                    <m:chr m:val="∑"/>
                    <m:subHide m:val="1"/>
                    <m:supHide m:val="1"/>
                  </m:naryPr>
                  <m:sub/>
                  <m:sup/>
                  <m:e>
                    <m:r>
                      <w:rPr>
                        <w:rFonts w:ascii="Cambria Math" w:hAnsi="Cambria Math"/>
                      </w:rPr>
                      <m:t xml:space="preserve">Itens</m:t>
                    </m:r>
                    <m:r>
                      <w:rPr>
                        <w:rFonts w:ascii="Cambria Math" w:hAnsi="Cambria Math"/>
                      </w:rPr>
                      <m:t xml:space="preserve">parciais</m:t>
                    </m:r>
                  </m:e>
                </m:nary>
              </m:num>
              <m:den>
                <m:r>
                  <w:rPr>
                    <w:rFonts w:ascii="Cambria Math" w:hAnsi="Cambria Math"/>
                  </w:rPr>
                  <m:t xml:space="preserve">total</m:t>
                </m:r>
                <m:r>
                  <w:rPr>
                    <w:rFonts w:ascii="Cambria Math" w:hAnsi="Cambria Math"/>
                  </w:rPr>
                  <m:t xml:space="preserve">de</m:t>
                </m:r>
                <m:r>
                  <w:rPr>
                    <w:rFonts w:ascii="Cambria Math" w:hAnsi="Cambria Math"/>
                  </w:rPr>
                  <m:t xml:space="preserve">itens</m:t>
                </m:r>
                <m:r>
                  <w:rPr>
                    <w:rFonts w:ascii="Cambria Math" w:hAnsi="Cambria Math"/>
                  </w:rPr>
                  <m:t xml:space="preserve">−</m:t>
                </m:r>
                <m:nary>
                  <m:naryPr>
                    <m:chr m:val="∑"/>
                    <m:subHide m:val="1"/>
                    <m:supHide m:val="1"/>
                  </m:naryPr>
                  <m:sub/>
                  <m:sup/>
                  <m:e>
                    <m:r>
                      <w:rPr>
                        <w:rFonts w:ascii="Cambria Math" w:hAnsi="Cambria Math"/>
                      </w:rPr>
                      <m:t xml:space="preserve">Itens</m:t>
                    </m:r>
                    <m:r>
                      <w:rPr>
                        <w:rFonts w:ascii="Cambria Math" w:hAnsi="Cambria Math"/>
                      </w:rPr>
                      <m:t xml:space="preserve">não</m:t>
                    </m:r>
                    <m:r>
                      <w:rPr>
                        <w:rFonts w:ascii="Cambria Math" w:hAnsi="Cambria Math"/>
                      </w:rPr>
                      <m:t xml:space="preserve">avaliados</m:t>
                    </m:r>
                  </m:e>
                </m:nary>
              </m:den>
            </m:f>
          </m:e>
        </m:d>
        <m:r>
          <w:rPr>
            <w:rFonts w:ascii="Cambria Math" w:hAnsi="Cambria Math"/>
          </w:rPr>
          <m:t xml:space="preserve">∗</m:t>
        </m:r>
        <m:r>
          <w:rPr>
            <w:rFonts w:ascii="Cambria Math" w:hAnsi="Cambria Math"/>
          </w:rPr>
          <m:t xml:space="preserve">100</m:t>
        </m:r>
        <m:d>
          <m:dPr>
            <m:begChr m:val="("/>
            <m:endChr m:val=")"/>
          </m:dPr>
          <m:e>
            <m:r>
              <w:rPr>
                <w:rFonts w:ascii="Cambria Math" w:hAnsi="Cambria Math"/>
              </w:rPr>
              <m:t xml:space="preserve">3</m:t>
            </m:r>
          </m:e>
        </m:d>
      </m:oMath>
    </w:p>
    <w:p>
      <w:pPr>
        <w:pStyle w:val="ListParagraph"/>
        <w:rPr/>
      </w:pPr>
      <w:r>
        <w:rPr/>
      </w:r>
    </w:p>
    <w:p>
      <w:pPr>
        <w:pStyle w:val="ListParagraph"/>
        <w:rPr/>
      </w:pPr>
      <w:r>
        <w:rPr/>
        <w:t xml:space="preserve">A quantidade total de itens é calculada pela soma dos itens conformes adicionada à soma dos itens não conformes e à soma dos itens parciais.  E, após a análise dos parâmetros e a determinação dos resultados de cada obra foram projetados gráficos com o objetivo de tornar a avaliação entre as obras mais compreensível. </w:t>
      </w:r>
    </w:p>
    <w:p>
      <w:pPr>
        <w:pStyle w:val="ListParagraph"/>
        <w:rPr/>
      </w:pPr>
      <w:r>
        <w:rPr/>
        <w:t xml:space="preserve">Ressalta-se que as cinco obras foram comparadas entre si quanto à porcentagem de itens conformes, sendo representadas conjuntamente em um único gráfico. O objetivo desse procedimento é avaliar qual canteiro apresenta a maior conformidade em relação ao conjunto total de itens avaliados. </w:t>
      </w:r>
    </w:p>
    <w:p>
      <w:pPr>
        <w:pStyle w:val="Ttulo1"/>
        <w:rPr/>
      </w:pPr>
      <w:bookmarkStart w:id="86" w:name="_Toc153611168"/>
      <w:bookmarkStart w:id="87" w:name="_Toc136701966"/>
      <w:r>
        <w:rPr/>
        <w:t xml:space="preserve">4 RESULTADOS </w:t>
      </w:r>
      <w:bookmarkEnd w:id="87"/>
      <w:r>
        <w:rPr/>
        <w:t>E DISCUSSÕES</w:t>
      </w:r>
      <w:bookmarkEnd w:id="86"/>
    </w:p>
    <w:p>
      <w:pPr>
        <w:pStyle w:val="ListParagraph"/>
        <w:rPr/>
      </w:pPr>
      <w:r>
        <w:rPr/>
        <w:t>A seguir estão descritos os resultados e discussões das análises observadas e estudadas durante as visitas nos canteiros de obras.</w:t>
      </w:r>
    </w:p>
    <w:p>
      <w:pPr>
        <w:pStyle w:val="Ttulo2"/>
        <w:rPr/>
      </w:pPr>
      <w:bookmarkStart w:id="88" w:name="_Toc153611169"/>
      <w:r>
        <w:rPr/>
        <w:t>4.1 CARACTERIZAÇÃO DAS OBRAS E DAS CONSTRUTORAS</w:t>
      </w:r>
      <w:bookmarkEnd w:id="88"/>
    </w:p>
    <w:p>
      <w:pPr>
        <w:pStyle w:val="ListParagraph"/>
        <w:rPr/>
      </w:pPr>
      <w:r>
        <w:rPr/>
        <w:t>De forma a garantir o sigilo da identidade das empresas, os canteiros de obras foram identificados como Obra A, Obra B, Obra C, Obra D e Obra E. Neste sentido, em nenhum momento é identificado o nome do empreendimento e nem de qual empresa o mesmo pertence.</w:t>
      </w:r>
    </w:p>
    <w:p>
      <w:pPr>
        <w:pStyle w:val="ListParagraph"/>
        <w:rPr/>
      </w:pPr>
      <w:r>
        <w:rPr/>
        <w:t>Além disso, a manutenção desse sigilo se deve ao fato de que as observações realizadas no local representam uma análise precisa do que foi constatado durante a visita. Essa análise tem como finalidade verificar se o canteiro de obras está em conformidade com os critérios estabelecidos pela NR-18. Vale ressaltar que em nenhum momento o objetivo é difamar ou prejudicar a reputação da empresa e do empreendimento.</w:t>
      </w:r>
    </w:p>
    <w:p>
      <w:pPr>
        <w:pStyle w:val="ListParagraph"/>
        <w:rPr/>
      </w:pPr>
      <w:r>
        <w:rPr/>
        <w:t xml:space="preserve">Salienta-se que a Obra A pertence a uma empresa de destaque no ramo de desenvolvimento imobiliário, com uma experiência sólida de mais de 41 anos de atuação no setor da construção. Ao longo deste período, a empresa entregou com êxito mais de 170 empreendimentos, abrangendo os estados de Goiás e São Paulo, além do Distrito Federal. </w:t>
      </w:r>
    </w:p>
    <w:p>
      <w:pPr>
        <w:pStyle w:val="ListParagraph"/>
        <w:rPr/>
      </w:pPr>
      <w:r>
        <w:rPr/>
        <w:t xml:space="preserve">Ademais, a referida obra, possui seu canteiro estrategicamente localizado no setor Bueno, em Goiânia, Goiás, uma região que abrange tanto atividades comerciais quanto residenciais. Dessa forma, o futuro empreendimento a ser construído estará em sintonia com o progresso contínuo do setor. Ele consistirá em duas torres distintas: uma de uso comercial e outra residencial, com uma área do terreno de 8.375,00 m². </w:t>
      </w:r>
    </w:p>
    <w:p>
      <w:pPr>
        <w:pStyle w:val="ListParagraph"/>
        <w:rPr/>
      </w:pPr>
      <w:r>
        <w:rPr/>
        <w:t>A Obra B, Obra C e Obra D fazem parte de uma empresa que está a mais de 60 anos no mercado, em que esta empresa é referência em diversos segmentos, como refrigerantes, energia, veículos, além de incorporação. Atualmente na cidade de Goiânia/GO, esta empresa possui mais de 7 canteiros de obra funcionando. Além disso, a empresa é referência em construção, nas cidades de Brasília e Uberlândia.</w:t>
      </w:r>
    </w:p>
    <w:p>
      <w:pPr>
        <w:pStyle w:val="ListParagraph"/>
        <w:rPr/>
      </w:pPr>
      <w:r>
        <w:rPr/>
        <w:t>A Obra B possui seu canteiro situado no setor Marista, Goiânia, Goiás, em proximidade com parques, restaurantes e pistas de corrida. Desse modo, o empreendimento se destaca pela sua localização, inserida em um ambiente rodeado por outros projetos imobiliários de grande porte. Além disso, a diversidade de tipologias dos apartamentos, variando de 35,07 m² a 136,15 m², também contribui para sua identidade. Além das características mencionadas, o empreendimento em planejamento contempla 40 andares e ocupa uma área total de terreno equivalente a 2.549,86 m².</w:t>
      </w:r>
    </w:p>
    <w:p>
      <w:pPr>
        <w:pStyle w:val="ListParagraph"/>
        <w:rPr/>
      </w:pPr>
      <w:r>
        <w:rPr/>
        <w:t>A Obra C situa-se no setor Marista a pouco mais de 200 metros da Obra B e trata-se de um empreendimento no qual as unidades habitacionais são mais espaçosas do que aquelas na Obra B. As tipologias das unidades variam de 194 m² a 524 m², distribuídas ao longo de 31 pavimentos. Adicionalmente, a Obra C abrange uma área total de terreno equivalente a 2.646,24 m².</w:t>
      </w:r>
    </w:p>
    <w:p>
      <w:pPr>
        <w:pStyle w:val="ListParagraph"/>
        <w:rPr/>
      </w:pPr>
      <w:r>
        <w:rPr/>
        <w:t>A Obra D encontra-se situada no setor Bueno, Goiânia, Goiás, próximo a academias, escolas, parques e outros complexos residenciais. Ademais, ela ostenta a particularidade de apresentar um jardim suspenso no interior de seu empreendimento, distribuído ao longo de 44 andares, e abrangendo uma área total do terreno de 2.250 m², com unidades habitacionais variando entre 144,14 m² e 318,43 m².</w:t>
      </w:r>
    </w:p>
    <w:p>
      <w:pPr>
        <w:pStyle w:val="ListParagraph"/>
        <w:ind w:firstLine="708"/>
        <w:rPr/>
      </w:pPr>
      <w:r>
        <w:rPr/>
        <w:t>Outrossim, a Obra E faz parte de uma construtora com mais de 42 anos de experiência na indústria da construção. Esta empresa é especializada na edificação de clínicas, hospitais, instalações industriais e empreendimento habitacionais, concentrando sua atuação exclusivamente no estado de Goiás.</w:t>
      </w:r>
    </w:p>
    <w:p>
      <w:pPr>
        <w:pStyle w:val="ListParagraph"/>
        <w:rPr/>
      </w:pPr>
      <w:r>
        <w:rPr/>
        <w:t xml:space="preserve">A referida obra está situada no setor Aeroporto, na cidade de Goiânia, Goiás, sendo reconhecido por abrigar clínicas médicas, hospitais e outros complexos habitacionais em sua localidade. As unidades habitacionais da Obra E apresentam tamanhos que variam de 67 a 107 m², com uma área total do terreno de aproximadamente 1.378,06 m². </w:t>
      </w:r>
    </w:p>
    <w:p>
      <w:pPr>
        <w:pStyle w:val="Normal"/>
        <w:rPr/>
      </w:pPr>
      <w:r>
        <w:rPr/>
      </w:r>
    </w:p>
    <w:p>
      <w:pPr>
        <w:pStyle w:val="Ttulo2"/>
        <w:rPr/>
      </w:pPr>
      <w:bookmarkStart w:id="89" w:name="_Toc153611170"/>
      <w:r>
        <w:rPr/>
        <w:t>4.2 ANÁLISE DO CUMPRIMENTO DA NR-18</w:t>
      </w:r>
      <w:bookmarkEnd w:id="89"/>
    </w:p>
    <w:p>
      <w:pPr>
        <w:pStyle w:val="ListParagraph"/>
        <w:rPr/>
      </w:pPr>
      <w:r>
        <w:rPr/>
        <w:t xml:space="preserve">São apresentadas, de forma individual, as principais conformidades e não conformidades encontradas em cada canteiro de obra visitado. </w:t>
      </w:r>
    </w:p>
    <w:p>
      <w:pPr>
        <w:pStyle w:val="Ttulo3"/>
        <w:rPr/>
      </w:pPr>
      <w:bookmarkStart w:id="90" w:name="_Toc153611171"/>
      <w:r>
        <w:rPr/>
        <w:t>4.2.1 Obra A</w:t>
      </w:r>
      <w:bookmarkEnd w:id="90"/>
    </w:p>
    <w:p>
      <w:pPr>
        <w:pStyle w:val="ListParagraph"/>
        <w:rPr/>
      </w:pPr>
      <w:r>
        <w:rPr/>
        <w:t xml:space="preserve">A primeira obra analisada, denominada de Obra A e com as características mencionadas anteriormente, possuía um total de 34 funcionários no dia da visita, dos quais 30 eram homens e 4 eram mulheres. </w:t>
      </w:r>
    </w:p>
    <w:p>
      <w:pPr>
        <w:pStyle w:val="ListParagraph"/>
        <w:rPr/>
      </w:pPr>
      <w:r>
        <w:rPr/>
        <w:t xml:space="preserve">A </w:t>
      </w:r>
      <w:r>
        <w:rPr/>
        <w:fldChar w:fldCharType="begin"/>
      </w:r>
      <w:r>
        <w:rPr/>
        <w:instrText> REF _Ref145616373 \h </w:instrText>
      </w:r>
      <w:r>
        <w:rPr/>
        <w:fldChar w:fldCharType="separate"/>
      </w:r>
      <w:r>
        <w:rPr/>
        <w:t>Figura 9</w:t>
      </w:r>
      <w:r>
        <w:rPr/>
        <w:fldChar w:fldCharType="end"/>
      </w:r>
      <w:r>
        <w:rPr/>
        <w:t xml:space="preserve"> apresenta uma visão panorâmica, vista a partir da entrada da obra e a </w:t>
      </w:r>
      <w:r>
        <w:rPr/>
        <w:fldChar w:fldCharType="begin"/>
      </w:r>
      <w:r>
        <w:rPr/>
        <w:instrText> REF _Ref145616376 \h </w:instrText>
      </w:r>
      <w:r>
        <w:rPr/>
        <w:fldChar w:fldCharType="separate"/>
      </w:r>
      <w:r>
        <w:rPr/>
        <w:t>Figura 10</w:t>
      </w:r>
      <w:r>
        <w:rPr/>
        <w:fldChar w:fldCharType="end"/>
      </w:r>
      <w:r>
        <w:rPr/>
        <w:t xml:space="preserve"> proporciona uma vista interna sobre a área onde os serviços estão sendo executados em maior escala.</w:t>
      </w:r>
    </w:p>
    <w:p>
      <w:pPr>
        <w:pStyle w:val="ListParagraph"/>
        <w:rPr/>
      </w:pPr>
      <w:r>
        <w:rPr/>
      </w:r>
    </w:p>
    <w:p>
      <w:pPr>
        <w:pStyle w:val="EstiloLegenda"/>
        <w:rPr/>
      </w:pPr>
      <w:bookmarkStart w:id="91" w:name="_Toc153611292"/>
      <w:bookmarkStart w:id="92" w:name="_Ref145616373"/>
      <w:r>
        <w:rPr/>
        <w:t xml:space="preserve">Figura </w:t>
      </w:r>
      <w:r>
        <w:rPr/>
        <w:fldChar w:fldCharType="begin"/>
      </w:r>
      <w:r>
        <w:rPr/>
        <w:instrText> SEQ Figura \* ARABIC </w:instrText>
      </w:r>
      <w:r>
        <w:rPr/>
        <w:fldChar w:fldCharType="separate"/>
      </w:r>
      <w:r>
        <w:rPr/>
        <w:t>9</w:t>
      </w:r>
      <w:r>
        <w:rPr/>
        <w:fldChar w:fldCharType="end"/>
      </w:r>
      <w:bookmarkEnd w:id="92"/>
      <w:r>
        <w:rPr/>
        <w:t xml:space="preserve"> – Vista panorâmica -Obra A.</w:t>
      </w:r>
      <w:bookmarkEnd w:id="91"/>
    </w:p>
    <w:p>
      <w:pPr>
        <w:pStyle w:val="ListParagraph"/>
        <w:ind w:hanging="0"/>
        <w:jc w:val="center"/>
        <w:rPr>
          <w:rFonts w:cs="Arial"/>
          <w:color w:val="000000" w:themeColor="text1"/>
          <w:sz w:val="20"/>
          <w:szCs w:val="20"/>
        </w:rPr>
      </w:pPr>
      <w:r>
        <w:rPr/>
        <w:drawing>
          <wp:inline distT="0" distB="0" distL="0" distR="0">
            <wp:extent cx="4330065" cy="2433320"/>
            <wp:effectExtent l="0" t="0" r="0" b="0"/>
            <wp:docPr id="19" name="Figura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Figura3" descr=""/>
                    <pic:cNvPicPr>
                      <a:picLocks noChangeAspect="1" noChangeArrowheads="1"/>
                    </pic:cNvPicPr>
                  </pic:nvPicPr>
                  <pic:blipFill>
                    <a:blip r:embed="rId20"/>
                    <a:stretch>
                      <a:fillRect/>
                    </a:stretch>
                  </pic:blipFill>
                  <pic:spPr bwMode="auto">
                    <a:xfrm>
                      <a:off x="0" y="0"/>
                      <a:ext cx="4330065" cy="2433320"/>
                    </a:xfrm>
                    <a:prstGeom prst="rect">
                      <a:avLst/>
                    </a:prstGeom>
                  </pic:spPr>
                </pic:pic>
              </a:graphicData>
            </a:graphic>
          </wp:inline>
        </w:drawing>
      </w:r>
    </w:p>
    <w:p>
      <w:pPr>
        <w:pStyle w:val="ListParagraph"/>
        <w:ind w:hanging="0"/>
        <w:jc w:val="center"/>
        <w:rPr>
          <w:rFonts w:cs="Arial"/>
          <w:color w:val="000000" w:themeColor="text1"/>
          <w:sz w:val="20"/>
          <w:szCs w:val="20"/>
        </w:rPr>
      </w:pPr>
      <w:r>
        <w:rPr>
          <w:rFonts w:cs="Arial"/>
          <w:color w:val="000000" w:themeColor="text1"/>
          <w:sz w:val="20"/>
          <w:szCs w:val="20"/>
        </w:rPr>
        <w:t>Fonte: Autor próprio (2023).</w:t>
      </w:r>
    </w:p>
    <w:p>
      <w:pPr>
        <w:pStyle w:val="ListParagraph"/>
        <w:ind w:hanging="0"/>
        <w:jc w:val="center"/>
        <w:rPr>
          <w:rFonts w:cs="Arial"/>
          <w:color w:val="000000" w:themeColor="text1"/>
          <w:sz w:val="20"/>
          <w:szCs w:val="20"/>
        </w:rPr>
      </w:pPr>
      <w:r>
        <w:rPr>
          <w:rFonts w:cs="Arial"/>
          <w:color w:val="000000" w:themeColor="text1"/>
          <w:sz w:val="20"/>
          <w:szCs w:val="20"/>
        </w:rPr>
      </w:r>
    </w:p>
    <w:p>
      <w:pPr>
        <w:pStyle w:val="EstiloLegenda"/>
        <w:rPr/>
      </w:pPr>
      <w:bookmarkStart w:id="93" w:name="_Toc153611293"/>
      <w:bookmarkStart w:id="94" w:name="_Ref145616376"/>
      <w:r>
        <w:rPr/>
        <w:t xml:space="preserve">Figura </w:t>
      </w:r>
      <w:r>
        <w:rPr/>
        <w:fldChar w:fldCharType="begin"/>
      </w:r>
      <w:r>
        <w:rPr/>
        <w:instrText> SEQ Figura \* ARABIC </w:instrText>
      </w:r>
      <w:r>
        <w:rPr/>
        <w:fldChar w:fldCharType="separate"/>
      </w:r>
      <w:r>
        <w:rPr/>
        <w:t>10</w:t>
      </w:r>
      <w:r>
        <w:rPr/>
        <w:fldChar w:fldCharType="end"/>
      </w:r>
      <w:bookmarkEnd w:id="94"/>
      <w:r>
        <w:rPr/>
        <w:t xml:space="preserve"> - Vista ampliada - Obra A.</w:t>
      </w:r>
      <w:bookmarkEnd w:id="93"/>
    </w:p>
    <w:p>
      <w:pPr>
        <w:pStyle w:val="ListParagraph"/>
        <w:ind w:hanging="0"/>
        <w:jc w:val="center"/>
        <w:rPr/>
      </w:pPr>
      <w:r>
        <w:rPr/>
        <w:drawing>
          <wp:inline distT="0" distB="0" distL="0" distR="0">
            <wp:extent cx="4355465" cy="2473325"/>
            <wp:effectExtent l="0" t="0" r="0" b="0"/>
            <wp:docPr id="20" name="Imagem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m 2" descr=""/>
                    <pic:cNvPicPr>
                      <a:picLocks noChangeAspect="1" noChangeArrowheads="1"/>
                    </pic:cNvPicPr>
                  </pic:nvPicPr>
                  <pic:blipFill>
                    <a:blip r:embed="rId21"/>
                    <a:stretch>
                      <a:fillRect/>
                    </a:stretch>
                  </pic:blipFill>
                  <pic:spPr bwMode="auto">
                    <a:xfrm>
                      <a:off x="0" y="0"/>
                      <a:ext cx="4355465" cy="2473325"/>
                    </a:xfrm>
                    <a:prstGeom prst="rect">
                      <a:avLst/>
                    </a:prstGeom>
                  </pic:spPr>
                </pic:pic>
              </a:graphicData>
            </a:graphic>
          </wp:inline>
        </w:drawing>
      </w:r>
    </w:p>
    <w:p>
      <w:pPr>
        <w:pStyle w:val="ListParagraph"/>
        <w:ind w:hanging="0"/>
        <w:jc w:val="center"/>
        <w:rPr>
          <w:rFonts w:cs="Arial"/>
          <w:color w:val="000000" w:themeColor="text1"/>
          <w:sz w:val="20"/>
          <w:szCs w:val="20"/>
        </w:rPr>
      </w:pPr>
      <w:r>
        <w:rPr>
          <w:rFonts w:cs="Arial"/>
          <w:color w:val="000000" w:themeColor="text1"/>
          <w:sz w:val="20"/>
          <w:szCs w:val="20"/>
        </w:rPr>
        <w:t>Fonte: Autor próprio (2023).</w:t>
      </w:r>
    </w:p>
    <w:p>
      <w:pPr>
        <w:pStyle w:val="ListParagraph"/>
        <w:ind w:hanging="0"/>
        <w:jc w:val="center"/>
        <w:rPr/>
      </w:pPr>
      <w:r>
        <w:rPr/>
      </w:r>
    </w:p>
    <w:p>
      <w:pPr>
        <w:pStyle w:val="ListParagraph"/>
        <w:rPr/>
      </w:pPr>
      <w:r>
        <w:rPr/>
        <w:t>A visita foi acompanhada pela responsável pela segurança do trabalho da obra. Dessa forma, foram analisados os pontos de acordo com o</w:t>
      </w:r>
      <w:r>
        <w:rPr>
          <w:i/>
          <w:iCs/>
        </w:rPr>
        <w:t xml:space="preserve"> checklist</w:t>
      </w:r>
      <w:r>
        <w:rPr/>
        <w:t xml:space="preserve"> apresentado e verificou-se se os serviços que estavam sendo executados estavam em conformidade com as normas de segurança.</w:t>
      </w:r>
    </w:p>
    <w:p>
      <w:pPr>
        <w:pStyle w:val="ListParagraph"/>
        <w:rPr/>
      </w:pPr>
      <w:r>
        <w:rPr/>
        <w:t xml:space="preserve">De acordo com a atualização da NR-18, é obrigatória a elaboração e implementação do Programa de Gerenciamento de Riscos (PGR) nos canteiros de obras. Esse programa deve contemplar os riscos e suas respectivas medidas de prevenção. Além disso, deve ser elaborado por um profissional legalmente habilitado em segurança do trabalho, e é verificado se a obra atende a esse requisito, conforme mencionado anteriormente (Brasil, 2021). </w:t>
      </w:r>
    </w:p>
    <w:p>
      <w:pPr>
        <w:pStyle w:val="ListParagraph"/>
        <w:rPr/>
      </w:pPr>
      <w:r>
        <w:rPr/>
        <w:t xml:space="preserve">Salienta-se que a Obra A possui não possui documentação física de seus colaboradores, uma vez que todas as informações estão armazenadas em uma plataforma específica, o que facilita o encaminhamento da documentação em caso de fiscalização. Neste contexto, na </w:t>
      </w:r>
      <w:r>
        <w:rPr/>
        <w:fldChar w:fldCharType="begin"/>
      </w:r>
      <w:r>
        <w:rPr/>
        <w:instrText> REF _Ref145854872 \h </w:instrText>
      </w:r>
      <w:r>
        <w:rPr/>
        <w:fldChar w:fldCharType="separate"/>
      </w:r>
      <w:r>
        <w:rPr/>
        <w:t>Figura 11</w:t>
      </w:r>
      <w:r>
        <w:rPr/>
        <w:fldChar w:fldCharType="end"/>
      </w:r>
      <w:r>
        <w:rPr/>
        <w:t xml:space="preserve">, é apresentada a capa do PGR da Obra A, na qual constam: i) o nome do empreendimento, ii) Cadastro Nacional da Pessoa Jurídica (CNPJ) e iii) o nome da obra. No entanto, a identificação da obra foi apagada pelos motivos mencionados anteriormente. Portanto, ao observar a </w:t>
      </w:r>
      <w:r>
        <w:rPr/>
        <w:fldChar w:fldCharType="begin"/>
      </w:r>
      <w:r>
        <w:rPr/>
        <w:instrText> REF _Ref145854872 \h </w:instrText>
      </w:r>
      <w:r>
        <w:rPr/>
        <w:fldChar w:fldCharType="separate"/>
      </w:r>
      <w:r>
        <w:rPr/>
        <w:t>Figura 11</w:t>
      </w:r>
      <w:r>
        <w:rPr/>
        <w:fldChar w:fldCharType="end"/>
      </w:r>
      <w:r>
        <w:rPr/>
        <w:t>, é possível verificar que o PGR abrange a etapa em que a obra se encontra. Ademais, foi constatado que o PGR foi elaborado por um profissional legalmente habilitado em segurança do trabalho.</w:t>
      </w:r>
    </w:p>
    <w:p>
      <w:pPr>
        <w:pStyle w:val="Normal"/>
        <w:rPr/>
      </w:pPr>
      <w:r>
        <w:rPr/>
      </w:r>
    </w:p>
    <w:p>
      <w:pPr>
        <w:pStyle w:val="EstiloLegenda"/>
        <w:rPr/>
      </w:pPr>
      <w:bookmarkStart w:id="95" w:name="_Toc153611294"/>
      <w:bookmarkStart w:id="96" w:name="_Ref145854867"/>
      <w:bookmarkStart w:id="97" w:name="_Ref145854872"/>
      <w:r>
        <w:rPr/>
        <w:t xml:space="preserve">Figura </w:t>
      </w:r>
      <w:r>
        <w:rPr/>
        <w:fldChar w:fldCharType="begin"/>
      </w:r>
      <w:r>
        <w:rPr/>
        <w:instrText> SEQ Figura \* ARABIC </w:instrText>
      </w:r>
      <w:r>
        <w:rPr/>
        <w:fldChar w:fldCharType="separate"/>
      </w:r>
      <w:r>
        <w:rPr/>
        <w:t>11</w:t>
      </w:r>
      <w:r>
        <w:rPr/>
        <w:fldChar w:fldCharType="end"/>
      </w:r>
      <w:bookmarkEnd w:id="97"/>
      <w:r>
        <w:rPr/>
        <w:t xml:space="preserve"> - Programa de Gerenciamento de Riscos - Obra A</w:t>
      </w:r>
      <w:bookmarkEnd w:id="96"/>
      <w:r>
        <w:rPr/>
        <w:t>.</w:t>
      </w:r>
      <w:bookmarkEnd w:id="95"/>
    </w:p>
    <w:p>
      <w:pPr>
        <w:pStyle w:val="ListParagraph"/>
        <w:ind w:hanging="0"/>
        <w:jc w:val="center"/>
        <w:rPr/>
      </w:pPr>
      <w:r>
        <w:rPr/>
        <w:drawing>
          <wp:inline distT="0" distB="0" distL="0" distR="0">
            <wp:extent cx="4330700" cy="2273300"/>
            <wp:effectExtent l="0" t="0" r="0" b="0"/>
            <wp:docPr id="21" name="Imagem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m 3" descr=""/>
                    <pic:cNvPicPr>
                      <a:picLocks noChangeAspect="1" noChangeArrowheads="1"/>
                    </pic:cNvPicPr>
                  </pic:nvPicPr>
                  <pic:blipFill>
                    <a:blip r:embed="rId22"/>
                    <a:stretch>
                      <a:fillRect/>
                    </a:stretch>
                  </pic:blipFill>
                  <pic:spPr bwMode="auto">
                    <a:xfrm>
                      <a:off x="0" y="0"/>
                      <a:ext cx="4330700" cy="2273300"/>
                    </a:xfrm>
                    <a:prstGeom prst="rect">
                      <a:avLst/>
                    </a:prstGeom>
                  </pic:spPr>
                </pic:pic>
              </a:graphicData>
            </a:graphic>
          </wp:inline>
        </w:drawing>
      </w:r>
    </w:p>
    <w:p>
      <w:pPr>
        <w:pStyle w:val="ListParagraph"/>
        <w:ind w:hanging="0"/>
        <w:jc w:val="center"/>
        <w:rPr>
          <w:rFonts w:cs="Arial"/>
          <w:color w:val="000000" w:themeColor="text1"/>
          <w:sz w:val="20"/>
          <w:szCs w:val="20"/>
        </w:rPr>
      </w:pPr>
      <w:r>
        <w:rPr>
          <w:rFonts w:cs="Arial"/>
          <w:color w:val="000000" w:themeColor="text1"/>
          <w:sz w:val="20"/>
          <w:szCs w:val="20"/>
        </w:rPr>
        <w:t>Fonte: Autor próprio (2023).</w:t>
      </w:r>
      <w:bookmarkStart w:id="98" w:name="_Toc136701967"/>
    </w:p>
    <w:p>
      <w:pPr>
        <w:pStyle w:val="Normal"/>
        <w:rPr/>
      </w:pPr>
      <w:r>
        <w:rPr/>
      </w:r>
    </w:p>
    <w:p>
      <w:pPr>
        <w:pStyle w:val="ListParagraph"/>
        <w:rPr/>
      </w:pPr>
      <w:r>
        <w:rPr/>
        <w:t>Referente a área de vivência, a Obra A atende ao dimensionamento adequado, bem como as condições mínimas de conforto e higiene, e com a devida proteção contra as intempéries.</w:t>
      </w:r>
    </w:p>
    <w:p>
      <w:pPr>
        <w:pStyle w:val="ListParagraph"/>
        <w:rPr/>
      </w:pPr>
      <w:r>
        <w:rPr/>
        <w:t xml:space="preserve">Na </w:t>
      </w:r>
      <w:r>
        <w:rPr/>
        <w:fldChar w:fldCharType="begin"/>
      </w:r>
      <w:r>
        <w:rPr/>
        <w:instrText> REF _Ref146043275 \h </w:instrText>
      </w:r>
      <w:r>
        <w:rPr/>
        <w:fldChar w:fldCharType="separate"/>
      </w:r>
      <w:r>
        <w:rPr/>
        <w:t>Figura 12</w:t>
      </w:r>
      <w:r>
        <w:rPr/>
        <w:fldChar w:fldCharType="end"/>
      </w:r>
      <w:r>
        <w:rPr/>
        <w:t xml:space="preserve"> é apresentado um registro do refeitório da Obra A, no qual é possível constatar que o local está coberto, limpo, sem a presença de lixo, e também dispõe de mesas e bancos em quantidade suficiente para atender à demanda atual. </w:t>
      </w:r>
    </w:p>
    <w:p>
      <w:pPr>
        <w:pStyle w:val="Normal"/>
        <w:rPr/>
      </w:pPr>
      <w:r>
        <w:rPr/>
      </w:r>
    </w:p>
    <w:p>
      <w:pPr>
        <w:pStyle w:val="EstiloLegenda"/>
        <w:ind w:firstLine="142"/>
        <w:rPr/>
      </w:pPr>
      <w:bookmarkStart w:id="99" w:name="_Toc153611295"/>
      <w:bookmarkStart w:id="100" w:name="_Ref146043275"/>
      <w:r>
        <w:rPr/>
        <w:t xml:space="preserve">Figura </w:t>
      </w:r>
      <w:r>
        <w:rPr/>
        <w:fldChar w:fldCharType="begin"/>
      </w:r>
      <w:r>
        <w:rPr/>
        <w:instrText> SEQ Figura \* ARABIC </w:instrText>
      </w:r>
      <w:r>
        <w:rPr/>
        <w:fldChar w:fldCharType="separate"/>
      </w:r>
      <w:r>
        <w:rPr/>
        <w:t>12</w:t>
      </w:r>
      <w:r>
        <w:rPr/>
        <w:fldChar w:fldCharType="end"/>
      </w:r>
      <w:bookmarkEnd w:id="100"/>
      <w:r>
        <w:rPr/>
        <w:t xml:space="preserve"> - Refeitório da Obra A.</w:t>
      </w:r>
      <w:bookmarkEnd w:id="99"/>
    </w:p>
    <w:p>
      <w:pPr>
        <w:pStyle w:val="ListParagraph"/>
        <w:tabs>
          <w:tab w:val="clear" w:pos="708"/>
          <w:tab w:val="left" w:pos="284" w:leader="none"/>
        </w:tabs>
        <w:ind w:firstLine="142"/>
        <w:jc w:val="center"/>
        <w:rPr/>
      </w:pPr>
      <w:r>
        <w:rPr/>
        <w:drawing>
          <wp:inline distT="0" distB="0" distL="0" distR="0">
            <wp:extent cx="4330700" cy="2276475"/>
            <wp:effectExtent l="0" t="0" r="0" b="0"/>
            <wp:docPr id="22" name="Figura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Figura4" descr=""/>
                    <pic:cNvPicPr>
                      <a:picLocks noChangeAspect="1" noChangeArrowheads="1"/>
                    </pic:cNvPicPr>
                  </pic:nvPicPr>
                  <pic:blipFill>
                    <a:blip r:embed="rId23"/>
                    <a:stretch>
                      <a:fillRect/>
                    </a:stretch>
                  </pic:blipFill>
                  <pic:spPr bwMode="auto">
                    <a:xfrm>
                      <a:off x="0" y="0"/>
                      <a:ext cx="4330700" cy="2276475"/>
                    </a:xfrm>
                    <a:prstGeom prst="rect">
                      <a:avLst/>
                    </a:prstGeom>
                  </pic:spPr>
                </pic:pic>
              </a:graphicData>
            </a:graphic>
          </wp:inline>
        </w:drawing>
      </w:r>
    </w:p>
    <w:p>
      <w:pPr>
        <w:pStyle w:val="ListParagraph"/>
        <w:ind w:firstLine="142"/>
        <w:jc w:val="center"/>
        <w:rPr>
          <w:rFonts w:cs="Arial"/>
          <w:color w:val="000000" w:themeColor="text1"/>
          <w:sz w:val="20"/>
          <w:szCs w:val="20"/>
        </w:rPr>
      </w:pPr>
      <w:r>
        <w:rPr>
          <w:rFonts w:cs="Arial"/>
          <w:color w:val="000000" w:themeColor="text1"/>
          <w:sz w:val="20"/>
          <w:szCs w:val="20"/>
        </w:rPr>
        <w:t>Fonte: Autor próprio (2023).</w:t>
      </w:r>
    </w:p>
    <w:p>
      <w:pPr>
        <w:pStyle w:val="ListParagraph"/>
        <w:jc w:val="center"/>
        <w:rPr>
          <w:rFonts w:cs="Arial"/>
          <w:color w:val="000000" w:themeColor="text1"/>
          <w:sz w:val="20"/>
          <w:szCs w:val="20"/>
        </w:rPr>
      </w:pPr>
      <w:r>
        <w:rPr>
          <w:rFonts w:cs="Arial"/>
          <w:color w:val="000000" w:themeColor="text1"/>
          <w:sz w:val="20"/>
          <w:szCs w:val="20"/>
        </w:rPr>
      </w:r>
    </w:p>
    <w:p>
      <w:pPr>
        <w:pStyle w:val="ListParagraph"/>
        <w:rPr/>
      </w:pPr>
      <w:r>
        <w:rPr/>
        <w:t xml:space="preserve">Referente ao vestiário e sanitários, a Obra A também apresentou de maneira satisfatória em relação ao dimensionamento de bacias sanitárias, lavatórios e chuveiros. Na </w:t>
      </w:r>
      <w:r>
        <w:rPr/>
        <w:fldChar w:fldCharType="begin"/>
      </w:r>
      <w:r>
        <w:rPr/>
        <w:instrText> REF _Ref146045942 \h </w:instrText>
      </w:r>
      <w:r>
        <w:rPr/>
        <w:fldChar w:fldCharType="separate"/>
      </w:r>
      <w:r>
        <w:rPr/>
        <w:t>Figura 13</w:t>
      </w:r>
      <w:r>
        <w:rPr/>
        <w:fldChar w:fldCharType="end"/>
      </w:r>
      <w:r>
        <w:rPr/>
        <w:t xml:space="preserve"> e </w:t>
      </w:r>
      <w:r>
        <w:rPr/>
        <w:fldChar w:fldCharType="begin"/>
      </w:r>
      <w:r>
        <w:rPr/>
        <w:instrText> REF _Ref152096745 \h </w:instrText>
      </w:r>
      <w:r>
        <w:rPr/>
        <w:fldChar w:fldCharType="separate"/>
      </w:r>
      <w:r>
        <w:rPr/>
        <w:t>Figura 14</w:t>
      </w:r>
      <w:r>
        <w:rPr/>
        <w:fldChar w:fldCharType="end"/>
      </w:r>
      <w:r>
        <w:rPr/>
        <w:t xml:space="preserve"> são apresentadas uma visão geral do ambiente em que estão localizados os chuveiros elétricos e as bacias sanitárias, respectivamente. </w:t>
      </w:r>
    </w:p>
    <w:p>
      <w:pPr>
        <w:pStyle w:val="EstiloLegenda"/>
        <w:jc w:val="both"/>
        <w:rPr/>
      </w:pPr>
      <w:r>
        <w:rPr/>
      </w:r>
    </w:p>
    <w:p>
      <w:pPr>
        <w:pStyle w:val="EstiloLegenda"/>
        <w:rPr/>
      </w:pPr>
      <w:bookmarkStart w:id="101" w:name="_Toc153611296"/>
      <w:bookmarkStart w:id="102" w:name="_Ref146045942"/>
      <w:r>
        <w:rPr/>
        <w:t xml:space="preserve">Figura </w:t>
      </w:r>
      <w:r>
        <w:rPr/>
        <w:fldChar w:fldCharType="begin"/>
      </w:r>
      <w:r>
        <w:rPr/>
        <w:instrText> SEQ Figura \* ARABIC </w:instrText>
      </w:r>
      <w:r>
        <w:rPr/>
        <w:fldChar w:fldCharType="separate"/>
      </w:r>
      <w:r>
        <w:rPr/>
        <w:t>13</w:t>
      </w:r>
      <w:r>
        <w:rPr/>
        <w:fldChar w:fldCharType="end"/>
      </w:r>
      <w:bookmarkEnd w:id="102"/>
      <w:r>
        <w:rPr/>
        <w:t xml:space="preserve"> - Vista geral do local onde estão os chuveiros – Obra A</w:t>
      </w:r>
      <w:bookmarkEnd w:id="101"/>
    </w:p>
    <w:p>
      <w:pPr>
        <w:pStyle w:val="Normal"/>
        <w:jc w:val="center"/>
        <w:rPr/>
      </w:pPr>
      <w:r>
        <w:rPr/>
        <w:drawing>
          <wp:inline distT="0" distB="0" distL="0" distR="0">
            <wp:extent cx="4330700" cy="2315845"/>
            <wp:effectExtent l="0" t="0" r="0" b="0"/>
            <wp:docPr id="23" name="Figura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Figura5" descr=""/>
                    <pic:cNvPicPr>
                      <a:picLocks noChangeAspect="1" noChangeArrowheads="1"/>
                    </pic:cNvPicPr>
                  </pic:nvPicPr>
                  <pic:blipFill>
                    <a:blip r:embed="rId24"/>
                    <a:stretch>
                      <a:fillRect/>
                    </a:stretch>
                  </pic:blipFill>
                  <pic:spPr bwMode="auto">
                    <a:xfrm>
                      <a:off x="0" y="0"/>
                      <a:ext cx="4330700" cy="2315845"/>
                    </a:xfrm>
                    <a:prstGeom prst="rect">
                      <a:avLst/>
                    </a:prstGeom>
                  </pic:spPr>
                </pic:pic>
              </a:graphicData>
            </a:graphic>
          </wp:inline>
        </w:drawing>
      </w:r>
    </w:p>
    <w:p>
      <w:pPr>
        <w:pStyle w:val="ListParagraph"/>
        <w:ind w:hanging="0"/>
        <w:jc w:val="center"/>
        <w:rPr>
          <w:sz w:val="20"/>
          <w:szCs w:val="20"/>
        </w:rPr>
      </w:pPr>
      <w:r>
        <w:rPr>
          <w:sz w:val="20"/>
          <w:szCs w:val="20"/>
        </w:rPr>
        <w:t>Fonte: Autor próprio (2023).</w:t>
      </w:r>
      <w:bookmarkStart w:id="103" w:name="_Ref146045952"/>
    </w:p>
    <w:p>
      <w:pPr>
        <w:pStyle w:val="EstiloLegenda"/>
        <w:rPr/>
      </w:pPr>
      <w:bookmarkStart w:id="104" w:name="_Toc153611297"/>
      <w:bookmarkStart w:id="105" w:name="_Ref152096745"/>
      <w:r>
        <w:rPr/>
        <w:t xml:space="preserve">Figura </w:t>
      </w:r>
      <w:r>
        <w:rPr/>
        <w:fldChar w:fldCharType="begin"/>
      </w:r>
      <w:r>
        <w:rPr/>
        <w:instrText> SEQ Figura \* ARABIC </w:instrText>
      </w:r>
      <w:r>
        <w:rPr/>
        <w:fldChar w:fldCharType="separate"/>
      </w:r>
      <w:r>
        <w:rPr/>
        <w:t>14</w:t>
      </w:r>
      <w:r>
        <w:rPr/>
        <w:fldChar w:fldCharType="end"/>
      </w:r>
      <w:bookmarkEnd w:id="103"/>
      <w:bookmarkEnd w:id="105"/>
      <w:r>
        <w:rPr/>
        <w:t xml:space="preserve"> - Vista geral do banheiro – Obra A</w:t>
      </w:r>
      <w:bookmarkEnd w:id="104"/>
    </w:p>
    <w:p>
      <w:pPr>
        <w:pStyle w:val="ListParagraph"/>
        <w:ind w:hanging="0"/>
        <w:jc w:val="center"/>
        <w:rPr/>
      </w:pPr>
      <w:r>
        <w:rPr/>
        <w:drawing>
          <wp:inline distT="0" distB="0" distL="0" distR="0">
            <wp:extent cx="5050790" cy="2893060"/>
            <wp:effectExtent l="0" t="0" r="0" b="0"/>
            <wp:docPr id="24" name="Figura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Figura6" descr=""/>
                    <pic:cNvPicPr>
                      <a:picLocks noChangeAspect="1" noChangeArrowheads="1"/>
                    </pic:cNvPicPr>
                  </pic:nvPicPr>
                  <pic:blipFill>
                    <a:blip r:embed="rId25"/>
                    <a:stretch>
                      <a:fillRect/>
                    </a:stretch>
                  </pic:blipFill>
                  <pic:spPr bwMode="auto">
                    <a:xfrm>
                      <a:off x="0" y="0"/>
                      <a:ext cx="5050790" cy="2893060"/>
                    </a:xfrm>
                    <a:prstGeom prst="rect">
                      <a:avLst/>
                    </a:prstGeom>
                  </pic:spPr>
                </pic:pic>
              </a:graphicData>
            </a:graphic>
          </wp:inline>
        </w:drawing>
      </w:r>
    </w:p>
    <w:p>
      <w:pPr>
        <w:pStyle w:val="ListParagraph"/>
        <w:ind w:hanging="0"/>
        <w:jc w:val="center"/>
        <w:rPr>
          <w:sz w:val="20"/>
          <w:szCs w:val="20"/>
        </w:rPr>
      </w:pPr>
      <w:r>
        <w:rPr>
          <w:sz w:val="20"/>
          <w:szCs w:val="20"/>
        </w:rPr>
        <w:t>Fonte: Autor próprio (2023).</w:t>
      </w:r>
    </w:p>
    <w:p>
      <w:pPr>
        <w:pStyle w:val="ListParagraph"/>
        <w:ind w:hanging="0"/>
        <w:rPr>
          <w:sz w:val="20"/>
          <w:szCs w:val="20"/>
        </w:rPr>
      </w:pPr>
      <w:r>
        <w:rPr>
          <w:sz w:val="20"/>
          <w:szCs w:val="20"/>
        </w:rPr>
      </w:r>
    </w:p>
    <w:p>
      <w:pPr>
        <w:pStyle w:val="ListParagraph"/>
        <w:rPr/>
      </w:pPr>
      <w:r>
        <w:rPr/>
        <w:t xml:space="preserve">Neste sentido, são apresentados na </w:t>
      </w:r>
      <w:r>
        <w:rPr/>
        <w:fldChar w:fldCharType="begin"/>
      </w:r>
      <w:r>
        <w:rPr/>
        <w:instrText> REF _Ref146048834 \h </w:instrText>
      </w:r>
      <w:r>
        <w:rPr/>
        <w:fldChar w:fldCharType="separate"/>
      </w:r>
      <w:r>
        <w:rPr/>
        <w:t>Figura 15</w:t>
      </w:r>
      <w:r>
        <w:rPr/>
        <w:fldChar w:fldCharType="end"/>
      </w:r>
      <w:r>
        <w:rPr/>
        <w:t xml:space="preserve"> e </w:t>
      </w:r>
      <w:r>
        <w:rPr/>
        <w:fldChar w:fldCharType="begin"/>
      </w:r>
      <w:r>
        <w:rPr/>
        <w:instrText> REF _Ref146048840 \h </w:instrText>
      </w:r>
      <w:r>
        <w:rPr/>
        <w:fldChar w:fldCharType="separate"/>
      </w:r>
      <w:r>
        <w:rPr/>
        <w:t>Figura 16</w:t>
      </w:r>
      <w:r>
        <w:rPr/>
        <w:fldChar w:fldCharType="end"/>
      </w:r>
      <w:r>
        <w:rPr/>
        <w:t xml:space="preserve"> os modelos das bacias sanitárias, bem como dos chuveiros elétricos, respectivamente. Sendo assim, de acordo com a quantidade de bacias sanitárias bem como de chuveiros elétricos disponíveis na Obra A, verifica-se que atende aos requisitos da NR-18. </w:t>
      </w:r>
    </w:p>
    <w:p>
      <w:pPr>
        <w:pStyle w:val="ListParagraph"/>
        <w:rPr/>
      </w:pPr>
      <w:r>
        <w:rPr/>
      </w:r>
    </w:p>
    <w:p>
      <w:pPr>
        <w:pStyle w:val="EstiloLegenda"/>
        <w:rPr/>
      </w:pPr>
      <w:bookmarkStart w:id="106" w:name="_Toc153611298"/>
      <w:bookmarkStart w:id="107" w:name="_Ref146048834"/>
      <w:r>
        <w:rPr/>
        <w:t xml:space="preserve">Figura </w:t>
      </w:r>
      <w:r>
        <w:rPr/>
        <w:fldChar w:fldCharType="begin"/>
      </w:r>
      <w:r>
        <w:rPr/>
        <w:instrText> SEQ Figura \* ARABIC </w:instrText>
      </w:r>
      <w:r>
        <w:rPr/>
        <w:fldChar w:fldCharType="separate"/>
      </w:r>
      <w:r>
        <w:rPr/>
        <w:t>15</w:t>
      </w:r>
      <w:r>
        <w:rPr/>
        <w:fldChar w:fldCharType="end"/>
      </w:r>
      <w:bookmarkEnd w:id="107"/>
      <w:r>
        <w:rPr/>
        <w:t xml:space="preserve"> - Bacia sanitária com assento com tampa da Obra A.</w:t>
      </w:r>
      <w:bookmarkEnd w:id="106"/>
    </w:p>
    <w:p>
      <w:pPr>
        <w:pStyle w:val="Normal"/>
        <w:jc w:val="center"/>
        <w:rPr/>
      </w:pPr>
      <w:r>
        <w:rPr/>
        <w:drawing>
          <wp:inline distT="0" distB="0" distL="0" distR="0">
            <wp:extent cx="5050790" cy="2851785"/>
            <wp:effectExtent l="0" t="0" r="0" b="0"/>
            <wp:docPr id="25" name="Figura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Figura7" descr=""/>
                    <pic:cNvPicPr>
                      <a:picLocks noChangeAspect="1" noChangeArrowheads="1"/>
                    </pic:cNvPicPr>
                  </pic:nvPicPr>
                  <pic:blipFill>
                    <a:blip r:embed="rId26"/>
                    <a:stretch>
                      <a:fillRect/>
                    </a:stretch>
                  </pic:blipFill>
                  <pic:spPr bwMode="auto">
                    <a:xfrm>
                      <a:off x="0" y="0"/>
                      <a:ext cx="5050790" cy="2851785"/>
                    </a:xfrm>
                    <a:prstGeom prst="rect">
                      <a:avLst/>
                    </a:prstGeom>
                  </pic:spPr>
                </pic:pic>
              </a:graphicData>
            </a:graphic>
          </wp:inline>
        </w:drawing>
      </w:r>
    </w:p>
    <w:p>
      <w:pPr>
        <w:pStyle w:val="ListParagraph"/>
        <w:ind w:hanging="0"/>
        <w:jc w:val="center"/>
        <w:rPr>
          <w:sz w:val="20"/>
          <w:szCs w:val="20"/>
        </w:rPr>
      </w:pPr>
      <w:r>
        <w:rPr>
          <w:sz w:val="20"/>
          <w:szCs w:val="20"/>
        </w:rPr>
        <w:t>Fonte: Autor próprio (2023).</w:t>
      </w:r>
    </w:p>
    <w:p>
      <w:pPr>
        <w:pStyle w:val="EstiloLegenda"/>
        <w:rPr/>
      </w:pPr>
      <w:r>
        <w:rPr/>
      </w:r>
    </w:p>
    <w:p>
      <w:pPr>
        <w:pStyle w:val="EstiloLegenda"/>
        <w:jc w:val="both"/>
        <w:rPr/>
      </w:pPr>
      <w:r>
        <w:rPr/>
      </w:r>
    </w:p>
    <w:p>
      <w:pPr>
        <w:pStyle w:val="EstiloLegenda"/>
        <w:rPr/>
      </w:pPr>
      <w:r>
        <w:rPr/>
      </w:r>
    </w:p>
    <w:p>
      <w:pPr>
        <w:pStyle w:val="EstiloLegenda"/>
        <w:rPr/>
      </w:pPr>
      <w:r>
        <w:rPr/>
      </w:r>
    </w:p>
    <w:p>
      <w:pPr>
        <w:pStyle w:val="EstiloLegenda"/>
        <w:rPr/>
      </w:pPr>
      <w:bookmarkStart w:id="108" w:name="_Toc153611299"/>
      <w:bookmarkStart w:id="109" w:name="_Ref146048840"/>
      <w:r>
        <w:rPr/>
        <w:t xml:space="preserve">Figura </w:t>
      </w:r>
      <w:r>
        <w:rPr/>
        <w:fldChar w:fldCharType="begin"/>
      </w:r>
      <w:r>
        <w:rPr/>
        <w:instrText> SEQ Figura \* ARABIC </w:instrText>
      </w:r>
      <w:r>
        <w:rPr/>
        <w:fldChar w:fldCharType="separate"/>
      </w:r>
      <w:r>
        <w:rPr/>
        <w:t>16</w:t>
      </w:r>
      <w:r>
        <w:rPr/>
        <w:fldChar w:fldCharType="end"/>
      </w:r>
      <w:bookmarkEnd w:id="109"/>
      <w:r>
        <w:rPr/>
        <w:t xml:space="preserve"> - Chuveiro elétrico da Obra A.</w:t>
      </w:r>
      <w:bookmarkEnd w:id="108"/>
    </w:p>
    <w:p>
      <w:pPr>
        <w:pStyle w:val="ListParagraph"/>
        <w:ind w:hanging="0"/>
        <w:jc w:val="center"/>
        <w:rPr/>
      </w:pPr>
      <w:r>
        <w:rPr/>
        <w:drawing>
          <wp:inline distT="0" distB="0" distL="0" distR="0">
            <wp:extent cx="4330700" cy="2387600"/>
            <wp:effectExtent l="0" t="0" r="0" b="0"/>
            <wp:docPr id="26" name="Imagem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m 4" descr=""/>
                    <pic:cNvPicPr>
                      <a:picLocks noChangeAspect="1" noChangeArrowheads="1"/>
                    </pic:cNvPicPr>
                  </pic:nvPicPr>
                  <pic:blipFill>
                    <a:blip r:embed="rId27"/>
                    <a:stretch>
                      <a:fillRect/>
                    </a:stretch>
                  </pic:blipFill>
                  <pic:spPr bwMode="auto">
                    <a:xfrm>
                      <a:off x="0" y="0"/>
                      <a:ext cx="4330700" cy="2387600"/>
                    </a:xfrm>
                    <a:prstGeom prst="rect">
                      <a:avLst/>
                    </a:prstGeom>
                  </pic:spPr>
                </pic:pic>
              </a:graphicData>
            </a:graphic>
          </wp:inline>
        </w:drawing>
      </w:r>
    </w:p>
    <w:p>
      <w:pPr>
        <w:pStyle w:val="ListParagraph"/>
        <w:ind w:hanging="0"/>
        <w:jc w:val="center"/>
        <w:rPr>
          <w:sz w:val="20"/>
          <w:szCs w:val="20"/>
        </w:rPr>
      </w:pPr>
      <w:r>
        <w:rPr>
          <w:sz w:val="20"/>
          <w:szCs w:val="20"/>
        </w:rPr>
        <w:t>Fonte: Autor próprio (2023).</w:t>
      </w:r>
    </w:p>
    <w:p>
      <w:pPr>
        <w:pStyle w:val="ListParagraph"/>
        <w:ind w:hanging="0"/>
        <w:jc w:val="center"/>
        <w:rPr>
          <w:sz w:val="20"/>
          <w:szCs w:val="20"/>
        </w:rPr>
      </w:pPr>
      <w:r>
        <w:rPr>
          <w:sz w:val="20"/>
          <w:szCs w:val="20"/>
        </w:rPr>
      </w:r>
    </w:p>
    <w:p>
      <w:pPr>
        <w:pStyle w:val="ListParagraph"/>
        <w:rPr/>
      </w:pPr>
      <w:r>
        <w:rPr/>
        <w:t xml:space="preserve">Foram constatados um total de 16 chuveiros ativos, com água quente e 8 bacias sanitárias com assento em funcionamento total. Sendo assim o dimensionamento para chuveiros e bacias sanitárias atendem a um total de 160 colaboradores, e para lavatório 140 colaboradores. </w:t>
      </w:r>
    </w:p>
    <w:p>
      <w:pPr>
        <w:pStyle w:val="ListParagraph"/>
        <w:rPr/>
      </w:pPr>
      <w:r>
        <w:rPr/>
        <w:t xml:space="preserve">Na </w:t>
      </w:r>
      <w:r>
        <w:rPr/>
        <w:fldChar w:fldCharType="begin"/>
      </w:r>
      <w:r>
        <w:rPr/>
        <w:instrText> REF _Ref146046486 \h </w:instrText>
      </w:r>
      <w:r>
        <w:rPr/>
        <w:fldChar w:fldCharType="separate"/>
      </w:r>
      <w:r>
        <w:rPr/>
        <w:t>Figura 17</w:t>
      </w:r>
      <w:r>
        <w:rPr/>
        <w:fldChar w:fldCharType="end"/>
      </w:r>
      <w:r>
        <w:rPr/>
        <w:t xml:space="preserve"> é apresentado um registro do local do vestiário da Obra A, em que é possível visualizar os armários designados para guarda dos pertences pessoais dos colaboradores. Esses armários estão devidamente trancados, e não há nenhum objeto fora deles.</w:t>
      </w:r>
    </w:p>
    <w:p>
      <w:pPr>
        <w:pStyle w:val="ListParagraph"/>
        <w:rPr/>
      </w:pPr>
      <w:r>
        <w:rPr/>
      </w:r>
    </w:p>
    <w:p>
      <w:pPr>
        <w:pStyle w:val="EstiloLegenda"/>
        <w:rPr/>
      </w:pPr>
      <w:bookmarkStart w:id="110" w:name="_Toc153611300"/>
      <w:bookmarkStart w:id="111" w:name="_Ref146046486"/>
      <w:r>
        <w:rPr/>
        <w:t xml:space="preserve">Figura </w:t>
      </w:r>
      <w:r>
        <w:rPr/>
        <w:fldChar w:fldCharType="begin"/>
      </w:r>
      <w:r>
        <w:rPr/>
        <w:instrText> SEQ Figura \* ARABIC </w:instrText>
      </w:r>
      <w:r>
        <w:rPr/>
        <w:fldChar w:fldCharType="separate"/>
      </w:r>
      <w:r>
        <w:rPr/>
        <w:t>17</w:t>
      </w:r>
      <w:r>
        <w:rPr/>
        <w:fldChar w:fldCharType="end"/>
      </w:r>
      <w:bookmarkEnd w:id="111"/>
      <w:r>
        <w:rPr/>
        <w:t xml:space="preserve"> - Vestiário da Obra A.</w:t>
      </w:r>
      <w:bookmarkEnd w:id="110"/>
    </w:p>
    <w:p>
      <w:pPr>
        <w:pStyle w:val="Normal"/>
        <w:jc w:val="center"/>
        <w:rPr/>
      </w:pPr>
      <w:r>
        <w:rPr/>
        <w:drawing>
          <wp:inline distT="0" distB="0" distL="0" distR="0">
            <wp:extent cx="4330700" cy="2423795"/>
            <wp:effectExtent l="0" t="0" r="0" b="0"/>
            <wp:docPr id="27" name="Figura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Figura8" descr=""/>
                    <pic:cNvPicPr>
                      <a:picLocks noChangeAspect="1" noChangeArrowheads="1"/>
                    </pic:cNvPicPr>
                  </pic:nvPicPr>
                  <pic:blipFill>
                    <a:blip r:embed="rId28"/>
                    <a:stretch>
                      <a:fillRect/>
                    </a:stretch>
                  </pic:blipFill>
                  <pic:spPr bwMode="auto">
                    <a:xfrm>
                      <a:off x="0" y="0"/>
                      <a:ext cx="4330700" cy="2423795"/>
                    </a:xfrm>
                    <a:prstGeom prst="rect">
                      <a:avLst/>
                    </a:prstGeom>
                  </pic:spPr>
                </pic:pic>
              </a:graphicData>
            </a:graphic>
          </wp:inline>
        </w:drawing>
      </w:r>
    </w:p>
    <w:p>
      <w:pPr>
        <w:pStyle w:val="ListParagraph"/>
        <w:ind w:hanging="0"/>
        <w:jc w:val="center"/>
        <w:rPr>
          <w:sz w:val="20"/>
          <w:szCs w:val="20"/>
        </w:rPr>
      </w:pPr>
      <w:r>
        <w:rPr>
          <w:sz w:val="20"/>
          <w:szCs w:val="20"/>
        </w:rPr>
        <w:t>Fonte: Autor próprio (2023).</w:t>
      </w:r>
    </w:p>
    <w:p>
      <w:pPr>
        <w:pStyle w:val="ListParagraph"/>
        <w:jc w:val="center"/>
        <w:rPr>
          <w:sz w:val="20"/>
          <w:szCs w:val="20"/>
        </w:rPr>
      </w:pPr>
      <w:r>
        <w:rPr>
          <w:sz w:val="20"/>
          <w:szCs w:val="20"/>
        </w:rPr>
      </w:r>
    </w:p>
    <w:p>
      <w:pPr>
        <w:pStyle w:val="ListParagraph"/>
        <w:rPr/>
      </w:pPr>
      <w:r>
        <w:rPr/>
        <w:t xml:space="preserve">No que diz respeito às instalações elétricas, verifica-se que estas estão em conformidade com o projeto elétrico. Além disso, os serviços são executados por profissionais autorizados, ou seja, por eletricistas que possuem treinamento em NR-10, garantindo a segurança em instalações e serviços elétricos, sendo este elaborado por profissional legalmente habilitado. </w:t>
      </w:r>
    </w:p>
    <w:p>
      <w:pPr>
        <w:pStyle w:val="ListParagraph"/>
        <w:rPr/>
      </w:pPr>
      <w:r>
        <w:rPr/>
        <w:t xml:space="preserve">Ainda referente aos itens de instalações é verificado que os quadros de distribuição das instalações elétricas estão identificados e sinalizados quanto ao risco elétrico e estão também com seus circuitos identificados. Neste sentido, a </w:t>
      </w:r>
      <w:r>
        <w:rPr/>
        <w:fldChar w:fldCharType="begin"/>
      </w:r>
      <w:r>
        <w:rPr/>
        <w:instrText> REF _Ref146469401 \h </w:instrText>
      </w:r>
      <w:r>
        <w:rPr/>
        <w:fldChar w:fldCharType="separate"/>
      </w:r>
      <w:r>
        <w:rPr/>
        <w:t>Figura 18</w:t>
      </w:r>
      <w:r>
        <w:rPr/>
        <w:fldChar w:fldCharType="end"/>
      </w:r>
      <w:r>
        <w:rPr/>
        <w:t xml:space="preserve"> apresenta um dos quadros de distribuição das instalações elétricas, e a </w:t>
      </w:r>
      <w:r>
        <w:rPr/>
        <w:fldChar w:fldCharType="begin"/>
      </w:r>
      <w:r>
        <w:rPr/>
        <w:instrText> REF _Ref146480626 \h </w:instrText>
      </w:r>
      <w:r>
        <w:rPr/>
        <w:fldChar w:fldCharType="separate"/>
      </w:r>
      <w:r>
        <w:rPr/>
        <w:t>Figura 19</w:t>
      </w:r>
      <w:r>
        <w:rPr/>
        <w:fldChar w:fldCharType="end"/>
      </w:r>
      <w:r>
        <w:rPr/>
        <w:t xml:space="preserve"> a parte interna de um dos quadros com seus disjuntores identificados.</w:t>
      </w:r>
    </w:p>
    <w:p>
      <w:pPr>
        <w:pStyle w:val="EstiloLegenda"/>
        <w:rPr/>
      </w:pPr>
      <w:r>
        <w:rPr/>
      </w:r>
    </w:p>
    <w:p>
      <w:pPr>
        <w:pStyle w:val="EstiloLegenda"/>
        <w:rPr/>
      </w:pPr>
      <w:bookmarkStart w:id="112" w:name="_Toc153611301"/>
      <w:bookmarkStart w:id="113" w:name="_Ref146469401"/>
      <w:r>
        <w:rPr/>
        <w:t xml:space="preserve">Figura </w:t>
      </w:r>
      <w:r>
        <w:rPr/>
        <w:fldChar w:fldCharType="begin"/>
      </w:r>
      <w:r>
        <w:rPr/>
        <w:instrText> SEQ Figura \* ARABIC </w:instrText>
      </w:r>
      <w:r>
        <w:rPr/>
        <w:fldChar w:fldCharType="separate"/>
      </w:r>
      <w:r>
        <w:rPr/>
        <w:t>18</w:t>
      </w:r>
      <w:r>
        <w:rPr/>
        <w:fldChar w:fldCharType="end"/>
      </w:r>
      <w:bookmarkEnd w:id="113"/>
      <w:r>
        <w:rPr/>
        <w:t xml:space="preserve"> - Quadro de distribuição das instalações elétricas - Obra A.</w:t>
      </w:r>
      <w:bookmarkEnd w:id="112"/>
    </w:p>
    <w:p>
      <w:pPr>
        <w:pStyle w:val="Normal"/>
        <w:jc w:val="center"/>
        <w:rPr/>
      </w:pPr>
      <w:r>
        <w:rPr/>
        <w:drawing>
          <wp:inline distT="0" distB="0" distL="0" distR="0">
            <wp:extent cx="4330700" cy="2588260"/>
            <wp:effectExtent l="0" t="0" r="0" b="0"/>
            <wp:docPr id="28" name="Imagem 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m 6" descr=""/>
                    <pic:cNvPicPr>
                      <a:picLocks noChangeAspect="1" noChangeArrowheads="1"/>
                    </pic:cNvPicPr>
                  </pic:nvPicPr>
                  <pic:blipFill>
                    <a:blip r:embed="rId29"/>
                    <a:stretch>
                      <a:fillRect/>
                    </a:stretch>
                  </pic:blipFill>
                  <pic:spPr bwMode="auto">
                    <a:xfrm>
                      <a:off x="0" y="0"/>
                      <a:ext cx="4330700" cy="2588260"/>
                    </a:xfrm>
                    <a:prstGeom prst="rect">
                      <a:avLst/>
                    </a:prstGeom>
                  </pic:spPr>
                </pic:pic>
              </a:graphicData>
            </a:graphic>
          </wp:inline>
        </w:drawing>
      </w:r>
      <w:r>
        <w:rPr/>
        <w:drawing>
          <wp:inline distT="0" distB="0" distL="0" distR="0">
            <wp:extent cx="14605" cy="28575"/>
            <wp:effectExtent l="0" t="0" r="0" b="0"/>
            <wp:docPr id="29" name="Imagem 153352708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m 1533527084" descr=""/>
                    <pic:cNvPicPr>
                      <a:picLocks noChangeAspect="1" noChangeArrowheads="1"/>
                    </pic:cNvPicPr>
                  </pic:nvPicPr>
                  <pic:blipFill>
                    <a:blip r:embed="rId30"/>
                    <a:stretch>
                      <a:fillRect/>
                    </a:stretch>
                  </pic:blipFill>
                  <pic:spPr bwMode="auto">
                    <a:xfrm>
                      <a:off x="0" y="0"/>
                      <a:ext cx="14605" cy="28575"/>
                    </a:xfrm>
                    <a:prstGeom prst="rect">
                      <a:avLst/>
                    </a:prstGeom>
                  </pic:spPr>
                </pic:pic>
              </a:graphicData>
            </a:graphic>
          </wp:inline>
        </w:drawing>
      </w:r>
    </w:p>
    <w:p>
      <w:pPr>
        <w:pStyle w:val="ListParagraph"/>
        <w:ind w:hanging="0"/>
        <w:jc w:val="center"/>
        <w:rPr>
          <w:sz w:val="20"/>
          <w:szCs w:val="20"/>
        </w:rPr>
      </w:pPr>
      <w:r>
        <w:rPr>
          <w:sz w:val="20"/>
          <w:szCs w:val="20"/>
        </w:rPr>
        <w:t>Fonte: Autor próprio (2023).</w:t>
      </w:r>
    </w:p>
    <w:p>
      <w:pPr>
        <w:pStyle w:val="Normal"/>
        <w:rPr/>
      </w:pPr>
      <w:r>
        <w:rPr/>
      </w:r>
    </w:p>
    <w:p>
      <w:pPr>
        <w:pStyle w:val="EstiloLegenda"/>
        <w:rPr/>
      </w:pPr>
      <w:bookmarkStart w:id="114" w:name="_Toc153611302"/>
      <w:bookmarkStart w:id="115" w:name="_Ref146480626"/>
      <w:r>
        <w:rPr/>
        <w:t xml:space="preserve">Figura </w:t>
      </w:r>
      <w:r>
        <w:rPr/>
        <w:fldChar w:fldCharType="begin"/>
      </w:r>
      <w:r>
        <w:rPr/>
        <w:instrText> SEQ Figura \* ARABIC </w:instrText>
      </w:r>
      <w:r>
        <w:rPr/>
        <w:fldChar w:fldCharType="separate"/>
      </w:r>
      <w:r>
        <w:rPr/>
        <w:t>19</w:t>
      </w:r>
      <w:r>
        <w:rPr/>
        <w:fldChar w:fldCharType="end"/>
      </w:r>
      <w:bookmarkEnd w:id="115"/>
      <w:r>
        <w:rPr/>
        <w:t xml:space="preserve"> - Identificação interna do quadro elétrico - Obra A.</w:t>
      </w:r>
      <w:bookmarkEnd w:id="114"/>
    </w:p>
    <w:p>
      <w:pPr>
        <w:pStyle w:val="ListParagraph"/>
        <w:ind w:hanging="0"/>
        <w:jc w:val="center"/>
        <w:rPr/>
      </w:pPr>
      <w:r>
        <w:rPr/>
        <w:drawing>
          <wp:inline distT="0" distB="0" distL="0" distR="0">
            <wp:extent cx="4330700" cy="2430780"/>
            <wp:effectExtent l="0" t="0" r="0" b="0"/>
            <wp:docPr id="30" name="Figura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Figura9" descr=""/>
                    <pic:cNvPicPr>
                      <a:picLocks noChangeAspect="1" noChangeArrowheads="1"/>
                    </pic:cNvPicPr>
                  </pic:nvPicPr>
                  <pic:blipFill>
                    <a:blip r:embed="rId31"/>
                    <a:stretch>
                      <a:fillRect/>
                    </a:stretch>
                  </pic:blipFill>
                  <pic:spPr bwMode="auto">
                    <a:xfrm>
                      <a:off x="0" y="0"/>
                      <a:ext cx="4330700" cy="2430780"/>
                    </a:xfrm>
                    <a:prstGeom prst="rect">
                      <a:avLst/>
                    </a:prstGeom>
                  </pic:spPr>
                </pic:pic>
              </a:graphicData>
            </a:graphic>
          </wp:inline>
        </w:drawing>
      </w:r>
    </w:p>
    <w:p>
      <w:pPr>
        <w:pStyle w:val="ListParagraph"/>
        <w:ind w:hanging="0"/>
        <w:jc w:val="center"/>
        <w:rPr>
          <w:sz w:val="20"/>
          <w:szCs w:val="20"/>
        </w:rPr>
      </w:pPr>
      <w:r>
        <w:rPr>
          <w:sz w:val="20"/>
          <w:szCs w:val="20"/>
        </w:rPr>
        <w:t>Fonte: Autor próprio (2023).</w:t>
      </w:r>
    </w:p>
    <w:p>
      <w:pPr>
        <w:pStyle w:val="ListParagraph"/>
        <w:rPr/>
      </w:pPr>
      <w:r>
        <w:rPr/>
        <w:t>Dentro do canteiro de obras da Obra A, existem outros quadros de distribuição das instalações elétricas que foram analisados e também não foram detectadas quaisquer não conformidades, referente a outros itens estabelecidos pela NR-18.</w:t>
      </w:r>
    </w:p>
    <w:p>
      <w:pPr>
        <w:pStyle w:val="ListParagraph"/>
        <w:rPr/>
      </w:pPr>
      <w:r>
        <w:rPr/>
        <w:t xml:space="preserve">No intuito de proteção e sinalização de pessoas, a obra instalou e sinalizou os guarda-corpos em torno de toda região onde possui risco de queda de altura. Assim, na </w:t>
      </w:r>
      <w:r>
        <w:rPr/>
        <w:fldChar w:fldCharType="begin"/>
      </w:r>
      <w:r>
        <w:rPr/>
        <w:instrText> REF _Ref146480808 \h </w:instrText>
      </w:r>
      <w:r>
        <w:rPr/>
        <w:fldChar w:fldCharType="separate"/>
      </w:r>
      <w:r>
        <w:rPr/>
        <w:t>Figura 20</w:t>
      </w:r>
      <w:r>
        <w:rPr/>
        <w:fldChar w:fldCharType="end"/>
      </w:r>
      <w:r>
        <w:rPr/>
        <w:t xml:space="preserve"> e </w:t>
      </w:r>
      <w:r>
        <w:rPr/>
        <w:fldChar w:fldCharType="begin"/>
      </w:r>
      <w:r>
        <w:rPr/>
        <w:instrText> REF _Ref146480809 \h </w:instrText>
      </w:r>
      <w:r>
        <w:rPr/>
        <w:fldChar w:fldCharType="separate"/>
      </w:r>
      <w:r>
        <w:rPr/>
        <w:t>Figura 21</w:t>
      </w:r>
      <w:r>
        <w:rPr/>
        <w:fldChar w:fldCharType="end"/>
      </w:r>
      <w:r>
        <w:rPr/>
        <w:t xml:space="preserve"> são apresentadas imagens das proteções coletivas instaladas pela Obra A, no intuito de prevenir quaisquer tipos de acidente. </w:t>
      </w:r>
    </w:p>
    <w:p>
      <w:pPr>
        <w:pStyle w:val="Normal"/>
        <w:rPr/>
      </w:pPr>
      <w:r>
        <w:rPr/>
      </w:r>
    </w:p>
    <w:p>
      <w:pPr>
        <w:pStyle w:val="EstiloLegenda"/>
        <w:rPr/>
      </w:pPr>
      <w:bookmarkStart w:id="116" w:name="_Toc153611303"/>
      <w:bookmarkStart w:id="117" w:name="_Ref146480808"/>
      <w:r>
        <w:rPr/>
        <w:t xml:space="preserve">Figura </w:t>
      </w:r>
      <w:r>
        <w:rPr/>
        <w:fldChar w:fldCharType="begin"/>
      </w:r>
      <w:r>
        <w:rPr/>
        <w:instrText> SEQ Figura \* ARABIC </w:instrText>
      </w:r>
      <w:r>
        <w:rPr/>
        <w:fldChar w:fldCharType="separate"/>
      </w:r>
      <w:r>
        <w:rPr/>
        <w:t>20</w:t>
      </w:r>
      <w:r>
        <w:rPr/>
        <w:fldChar w:fldCharType="end"/>
      </w:r>
      <w:bookmarkEnd w:id="117"/>
      <w:r>
        <w:rPr/>
        <w:t xml:space="preserve"> - Instalação de guarda-corpo – Obra A.</w:t>
      </w:r>
      <w:bookmarkEnd w:id="116"/>
    </w:p>
    <w:p>
      <w:pPr>
        <w:pStyle w:val="ListParagraph"/>
        <w:ind w:hanging="0"/>
        <w:jc w:val="center"/>
        <w:rPr/>
      </w:pPr>
      <w:r>
        <w:rPr/>
        <w:drawing>
          <wp:inline distT="0" distB="0" distL="0" distR="0">
            <wp:extent cx="4330700" cy="2920365"/>
            <wp:effectExtent l="0" t="0" r="0" b="0"/>
            <wp:docPr id="31" name="Figura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Figura10" descr=""/>
                    <pic:cNvPicPr>
                      <a:picLocks noChangeAspect="1" noChangeArrowheads="1"/>
                    </pic:cNvPicPr>
                  </pic:nvPicPr>
                  <pic:blipFill>
                    <a:blip r:embed="rId32"/>
                    <a:stretch>
                      <a:fillRect/>
                    </a:stretch>
                  </pic:blipFill>
                  <pic:spPr bwMode="auto">
                    <a:xfrm>
                      <a:off x="0" y="0"/>
                      <a:ext cx="4330700" cy="2920365"/>
                    </a:xfrm>
                    <a:prstGeom prst="rect">
                      <a:avLst/>
                    </a:prstGeom>
                  </pic:spPr>
                </pic:pic>
              </a:graphicData>
            </a:graphic>
          </wp:inline>
        </w:drawing>
      </w:r>
    </w:p>
    <w:p>
      <w:pPr>
        <w:pStyle w:val="ListParagraph"/>
        <w:ind w:hanging="0"/>
        <w:jc w:val="center"/>
        <w:rPr>
          <w:sz w:val="20"/>
          <w:szCs w:val="20"/>
        </w:rPr>
      </w:pPr>
      <w:r>
        <w:rPr>
          <w:sz w:val="20"/>
          <w:szCs w:val="20"/>
        </w:rPr>
        <w:t>Fonte: Autor próprio (2023).</w:t>
      </w:r>
    </w:p>
    <w:p>
      <w:pPr>
        <w:pStyle w:val="Normal"/>
        <w:rPr>
          <w:sz w:val="20"/>
          <w:szCs w:val="20"/>
        </w:rPr>
      </w:pPr>
      <w:r>
        <w:rPr>
          <w:sz w:val="20"/>
          <w:szCs w:val="20"/>
        </w:rPr>
      </w:r>
    </w:p>
    <w:p>
      <w:pPr>
        <w:pStyle w:val="EstiloLegenda"/>
        <w:rPr/>
      </w:pPr>
      <w:bookmarkStart w:id="118" w:name="_Toc153611304"/>
      <w:bookmarkStart w:id="119" w:name="_Ref146480809"/>
      <w:r>
        <w:rPr/>
        <w:t xml:space="preserve">Figura </w:t>
      </w:r>
      <w:r>
        <w:rPr/>
        <w:fldChar w:fldCharType="begin"/>
      </w:r>
      <w:r>
        <w:rPr/>
        <w:instrText> SEQ Figura \* ARABIC </w:instrText>
      </w:r>
      <w:r>
        <w:rPr/>
        <w:fldChar w:fldCharType="separate"/>
      </w:r>
      <w:r>
        <w:rPr/>
        <w:t>21</w:t>
      </w:r>
      <w:r>
        <w:rPr/>
        <w:fldChar w:fldCharType="end"/>
      </w:r>
      <w:bookmarkEnd w:id="119"/>
      <w:r>
        <w:rPr/>
        <w:t>- Guarda-corpo sinalizado - Obra A.</w:t>
      </w:r>
      <w:bookmarkEnd w:id="118"/>
    </w:p>
    <w:p>
      <w:pPr>
        <w:pStyle w:val="ListParagraph"/>
        <w:ind w:hanging="0"/>
        <w:jc w:val="center"/>
        <w:rPr/>
      </w:pPr>
      <w:r>
        <w:rPr/>
        <w:drawing>
          <wp:inline distT="0" distB="0" distL="0" distR="0">
            <wp:extent cx="4330700" cy="2760345"/>
            <wp:effectExtent l="0" t="0" r="0" b="0"/>
            <wp:docPr id="32" name="Figura1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Figura11" descr=""/>
                    <pic:cNvPicPr>
                      <a:picLocks noChangeAspect="1" noChangeArrowheads="1"/>
                    </pic:cNvPicPr>
                  </pic:nvPicPr>
                  <pic:blipFill>
                    <a:blip r:embed="rId33"/>
                    <a:stretch>
                      <a:fillRect/>
                    </a:stretch>
                  </pic:blipFill>
                  <pic:spPr bwMode="auto">
                    <a:xfrm>
                      <a:off x="0" y="0"/>
                      <a:ext cx="4330700" cy="2760345"/>
                    </a:xfrm>
                    <a:prstGeom prst="rect">
                      <a:avLst/>
                    </a:prstGeom>
                  </pic:spPr>
                </pic:pic>
              </a:graphicData>
            </a:graphic>
          </wp:inline>
        </w:drawing>
      </w:r>
    </w:p>
    <w:p>
      <w:pPr>
        <w:pStyle w:val="ListParagraph"/>
        <w:ind w:hanging="0"/>
        <w:jc w:val="center"/>
        <w:rPr>
          <w:sz w:val="20"/>
          <w:szCs w:val="20"/>
        </w:rPr>
      </w:pPr>
      <w:r>
        <w:rPr>
          <w:sz w:val="20"/>
          <w:szCs w:val="20"/>
        </w:rPr>
        <w:t>Fonte: Autor próprio (2023).</w:t>
      </w:r>
    </w:p>
    <w:p>
      <w:pPr>
        <w:pStyle w:val="ListParagraph"/>
        <w:rPr/>
      </w:pPr>
      <w:r>
        <w:rPr/>
        <w:t xml:space="preserve">No dia da análise do canteiro da Obra A, foi encontrada uma betoneira no canteiro. Entretanto, a mesma possuía uma placa sinalizando que estava inativa, ou seja, não poderia ser operada. Contudo, salienta-se que ela estava em um ambiente coberto, com sinalização e iluminação adequados, conforme estabelecido pela NR-18. A </w:t>
      </w:r>
      <w:r>
        <w:rPr/>
        <w:fldChar w:fldCharType="begin"/>
      </w:r>
      <w:r>
        <w:rPr/>
        <w:instrText> REF _Ref147064892 \h </w:instrText>
      </w:r>
      <w:r>
        <w:rPr/>
        <w:fldChar w:fldCharType="separate"/>
      </w:r>
      <w:r>
        <w:rPr/>
        <w:t>Figura 22</w:t>
      </w:r>
      <w:r>
        <w:rPr/>
        <w:fldChar w:fldCharType="end"/>
      </w:r>
      <w:r>
        <w:rPr/>
        <w:t xml:space="preserve"> apresenta o local em que a betoneira estava instalada.  </w:t>
      </w:r>
    </w:p>
    <w:p>
      <w:pPr>
        <w:pStyle w:val="Normal"/>
        <w:rPr/>
      </w:pPr>
      <w:r>
        <w:rPr/>
      </w:r>
    </w:p>
    <w:p>
      <w:pPr>
        <w:pStyle w:val="EstiloLegenda"/>
        <w:rPr/>
      </w:pPr>
      <w:bookmarkStart w:id="120" w:name="_Toc153611305"/>
      <w:bookmarkStart w:id="121" w:name="_Ref147064892"/>
      <w:r>
        <w:rPr/>
        <w:t xml:space="preserve">Figura </w:t>
      </w:r>
      <w:r>
        <w:rPr/>
        <w:fldChar w:fldCharType="begin"/>
      </w:r>
      <w:r>
        <w:rPr/>
        <w:instrText> SEQ Figura \* ARABIC </w:instrText>
      </w:r>
      <w:r>
        <w:rPr/>
        <w:fldChar w:fldCharType="separate"/>
      </w:r>
      <w:r>
        <w:rPr/>
        <w:t>22</w:t>
      </w:r>
      <w:r>
        <w:rPr/>
        <w:fldChar w:fldCharType="end"/>
      </w:r>
      <w:bookmarkEnd w:id="121"/>
      <w:r>
        <w:rPr/>
        <w:t xml:space="preserve"> - Instalação de Betoneira - Obra A.</w:t>
      </w:r>
      <w:bookmarkEnd w:id="120"/>
    </w:p>
    <w:p>
      <w:pPr>
        <w:pStyle w:val="ListParagraph"/>
        <w:tabs>
          <w:tab w:val="clear" w:pos="708"/>
          <w:tab w:val="left" w:pos="426" w:leader="none"/>
        </w:tabs>
        <w:ind w:hanging="0"/>
        <w:jc w:val="center"/>
        <w:rPr/>
      </w:pPr>
      <w:r>
        <w:rPr/>
        <w:drawing>
          <wp:inline distT="0" distB="0" distL="0" distR="0">
            <wp:extent cx="4330700" cy="2653030"/>
            <wp:effectExtent l="0" t="0" r="0" b="0"/>
            <wp:docPr id="33" name="Imagem 1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m 13" descr=""/>
                    <pic:cNvPicPr>
                      <a:picLocks noChangeAspect="1" noChangeArrowheads="1"/>
                    </pic:cNvPicPr>
                  </pic:nvPicPr>
                  <pic:blipFill>
                    <a:blip r:embed="rId34"/>
                    <a:stretch>
                      <a:fillRect/>
                    </a:stretch>
                  </pic:blipFill>
                  <pic:spPr bwMode="auto">
                    <a:xfrm>
                      <a:off x="0" y="0"/>
                      <a:ext cx="4330700" cy="2653030"/>
                    </a:xfrm>
                    <a:prstGeom prst="rect">
                      <a:avLst/>
                    </a:prstGeom>
                  </pic:spPr>
                </pic:pic>
              </a:graphicData>
            </a:graphic>
          </wp:inline>
        </w:drawing>
      </w:r>
    </w:p>
    <w:p>
      <w:pPr>
        <w:pStyle w:val="ListParagraph"/>
        <w:ind w:hanging="0"/>
        <w:jc w:val="center"/>
        <w:rPr>
          <w:sz w:val="20"/>
          <w:szCs w:val="20"/>
        </w:rPr>
      </w:pPr>
      <w:r>
        <w:rPr>
          <w:sz w:val="20"/>
          <w:szCs w:val="20"/>
        </w:rPr>
        <w:t>Fonte: Autor próprio (2023).</w:t>
      </w:r>
    </w:p>
    <w:p>
      <w:pPr>
        <w:pStyle w:val="ListParagraph"/>
        <w:ind w:hanging="0"/>
        <w:jc w:val="center"/>
        <w:rPr>
          <w:sz w:val="20"/>
          <w:szCs w:val="20"/>
        </w:rPr>
      </w:pPr>
      <w:r>
        <w:rPr>
          <w:sz w:val="20"/>
          <w:szCs w:val="20"/>
        </w:rPr>
      </w:r>
    </w:p>
    <w:p>
      <w:pPr>
        <w:pStyle w:val="ListParagraph"/>
        <w:rPr/>
      </w:pPr>
      <w:r>
        <w:rPr/>
        <w:t xml:space="preserve">Conforme mostrado anteriormente na </w:t>
      </w:r>
      <w:r>
        <w:rPr/>
        <w:fldChar w:fldCharType="begin"/>
      </w:r>
      <w:r>
        <w:rPr/>
        <w:instrText> REF _Ref146469401 \h </w:instrText>
      </w:r>
      <w:r>
        <w:rPr/>
        <w:fldChar w:fldCharType="separate"/>
      </w:r>
      <w:r>
        <w:rPr/>
        <w:t>Figura 18</w:t>
      </w:r>
      <w:r>
        <w:rPr/>
        <w:fldChar w:fldCharType="end"/>
      </w:r>
      <w:r>
        <w:rPr/>
        <w:t xml:space="preserve"> e na </w:t>
      </w:r>
      <w:r>
        <w:rPr/>
        <w:fldChar w:fldCharType="begin"/>
      </w:r>
      <w:r>
        <w:rPr/>
        <w:instrText> REF _Ref146480809 \h </w:instrText>
      </w:r>
      <w:r>
        <w:rPr/>
        <w:fldChar w:fldCharType="separate"/>
      </w:r>
      <w:r>
        <w:rPr/>
        <w:t>Figura 21</w:t>
      </w:r>
      <w:r>
        <w:rPr/>
        <w:fldChar w:fldCharType="end"/>
      </w:r>
      <w:r>
        <w:rPr/>
        <w:t>, a Obra A possui diversas placas de sinalização distribuídas ao longo do canteiro de obras. Essas placas têm o propósito de alertar sobre a obrigatoriedade do uso de EPI, identificar acessos e rotas para circulação de veículos e equipamentos, delimitar áreas de movimentação e transporte de materiais e destacar os riscos associados, como o risco de choque elétrico.</w:t>
      </w:r>
    </w:p>
    <w:p>
      <w:pPr>
        <w:pStyle w:val="ListParagraph"/>
        <w:rPr/>
      </w:pPr>
      <w:r>
        <w:rPr/>
        <w:t xml:space="preserve">Neste contexto, a </w:t>
      </w:r>
      <w:r>
        <w:rPr/>
        <w:fldChar w:fldCharType="begin"/>
      </w:r>
      <w:r>
        <w:rPr/>
        <w:instrText> REF _Ref146481325 \h </w:instrText>
      </w:r>
      <w:r>
        <w:rPr/>
        <w:fldChar w:fldCharType="separate"/>
      </w:r>
      <w:r>
        <w:rPr/>
        <w:t>Figura 23</w:t>
      </w:r>
      <w:r>
        <w:rPr/>
        <w:fldChar w:fldCharType="end"/>
      </w:r>
      <w:r>
        <w:rPr/>
        <w:t xml:space="preserve"> exibe as placas de sinalização utilizadas pela Obra A para destacar a obrigatoriedade do uso de EPI e restringir o acesso à área, permitindo apenas a circulação de pessoas autorizadas. </w:t>
      </w:r>
    </w:p>
    <w:p>
      <w:pPr>
        <w:pStyle w:val="ListParagraph"/>
        <w:rPr/>
      </w:pPr>
      <w:r>
        <w:rPr/>
        <w:t xml:space="preserve">Na </w:t>
      </w:r>
      <w:r>
        <w:rPr/>
        <w:fldChar w:fldCharType="begin"/>
      </w:r>
      <w:r>
        <w:rPr/>
        <w:instrText> REF _Ref146481800 \h </w:instrText>
      </w:r>
      <w:r>
        <w:rPr/>
        <w:fldChar w:fldCharType="separate"/>
      </w:r>
      <w:r>
        <w:rPr/>
        <w:t>Figura 24</w:t>
      </w:r>
      <w:r>
        <w:rPr/>
        <w:fldChar w:fldCharType="end"/>
      </w:r>
      <w:r>
        <w:rPr/>
        <w:t xml:space="preserve"> são apresentadas as placas localizadas na entrada do canteiro da Obra A, enfatizando a exigência do uso de EPI e exibindo também a contagem de dias sem acidentes de trabalho. Entretanto, ressalta-se que não foi identificado em nenhum local do canteiro a identificação e sinalização de saída de emergência. No qual o canteiro de obras deve ser sinalizado indicação das saídas de emergência (Brasil, 2021).</w:t>
      </w:r>
    </w:p>
    <w:p>
      <w:pPr>
        <w:pStyle w:val="EstiloLegenda"/>
        <w:rPr/>
      </w:pPr>
      <w:bookmarkStart w:id="122" w:name="_Toc153611306"/>
      <w:bookmarkStart w:id="123" w:name="_Ref146481325"/>
      <w:r>
        <w:rPr/>
        <w:t xml:space="preserve">Figura </w:t>
      </w:r>
      <w:r>
        <w:rPr/>
        <w:fldChar w:fldCharType="begin"/>
      </w:r>
      <w:r>
        <w:rPr/>
        <w:instrText> SEQ Figura \* ARABIC </w:instrText>
      </w:r>
      <w:r>
        <w:rPr/>
        <w:fldChar w:fldCharType="separate"/>
      </w:r>
      <w:r>
        <w:rPr/>
        <w:t>23</w:t>
      </w:r>
      <w:r>
        <w:rPr/>
        <w:fldChar w:fldCharType="end"/>
      </w:r>
      <w:bookmarkEnd w:id="123"/>
      <w:r>
        <w:rPr/>
        <w:t xml:space="preserve"> - Sinalização – Acesso restrito e uso de EPI.</w:t>
      </w:r>
      <w:bookmarkEnd w:id="122"/>
    </w:p>
    <w:p>
      <w:pPr>
        <w:pStyle w:val="ListParagraph"/>
        <w:ind w:hanging="0"/>
        <w:jc w:val="center"/>
        <w:rPr/>
      </w:pPr>
      <w:r>
        <w:rPr/>
        <w:drawing>
          <wp:inline distT="0" distB="0" distL="0" distR="0">
            <wp:extent cx="4330700" cy="3082925"/>
            <wp:effectExtent l="0" t="0" r="0" b="0"/>
            <wp:docPr id="34" name="Imagem 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m 9" descr=""/>
                    <pic:cNvPicPr>
                      <a:picLocks noChangeAspect="1" noChangeArrowheads="1"/>
                    </pic:cNvPicPr>
                  </pic:nvPicPr>
                  <pic:blipFill>
                    <a:blip r:embed="rId35"/>
                    <a:stretch>
                      <a:fillRect/>
                    </a:stretch>
                  </pic:blipFill>
                  <pic:spPr bwMode="auto">
                    <a:xfrm>
                      <a:off x="0" y="0"/>
                      <a:ext cx="4330700" cy="3082925"/>
                    </a:xfrm>
                    <a:prstGeom prst="rect">
                      <a:avLst/>
                    </a:prstGeom>
                  </pic:spPr>
                </pic:pic>
              </a:graphicData>
            </a:graphic>
          </wp:inline>
        </w:drawing>
      </w:r>
    </w:p>
    <w:p>
      <w:pPr>
        <w:pStyle w:val="ListParagraph"/>
        <w:ind w:hanging="0"/>
        <w:jc w:val="center"/>
        <w:rPr>
          <w:sz w:val="20"/>
          <w:szCs w:val="20"/>
        </w:rPr>
      </w:pPr>
      <w:r>
        <w:rPr>
          <w:sz w:val="20"/>
          <w:szCs w:val="20"/>
        </w:rPr>
        <w:t>Fonte: Autor próprio (2023).</w:t>
      </w:r>
    </w:p>
    <w:p>
      <w:pPr>
        <w:pStyle w:val="ListParagraph"/>
        <w:ind w:hanging="0"/>
        <w:jc w:val="center"/>
        <w:rPr>
          <w:sz w:val="20"/>
          <w:szCs w:val="20"/>
        </w:rPr>
      </w:pPr>
      <w:r>
        <w:rPr>
          <w:sz w:val="20"/>
          <w:szCs w:val="20"/>
        </w:rPr>
      </w:r>
    </w:p>
    <w:p>
      <w:pPr>
        <w:pStyle w:val="EstiloLegenda"/>
        <w:rPr/>
      </w:pPr>
      <w:bookmarkStart w:id="124" w:name="_Toc153611307"/>
      <w:bookmarkStart w:id="125" w:name="_Ref146481800"/>
      <w:r>
        <w:rPr/>
        <w:t xml:space="preserve">Figura </w:t>
      </w:r>
      <w:r>
        <w:rPr/>
        <w:fldChar w:fldCharType="begin"/>
      </w:r>
      <w:r>
        <w:rPr/>
        <w:instrText> SEQ Figura \* ARABIC </w:instrText>
      </w:r>
      <w:r>
        <w:rPr/>
        <w:fldChar w:fldCharType="separate"/>
      </w:r>
      <w:r>
        <w:rPr/>
        <w:t>24</w:t>
      </w:r>
      <w:r>
        <w:rPr/>
        <w:fldChar w:fldCharType="end"/>
      </w:r>
      <w:bookmarkEnd w:id="125"/>
      <w:r>
        <w:rPr/>
        <w:t xml:space="preserve"> - Sinalização - obrigatoriedade do uso de EPI.</w:t>
      </w:r>
      <w:bookmarkEnd w:id="124"/>
    </w:p>
    <w:p>
      <w:pPr>
        <w:pStyle w:val="ListParagraph"/>
        <w:tabs>
          <w:tab w:val="clear" w:pos="708"/>
          <w:tab w:val="left" w:pos="3000" w:leader="none"/>
        </w:tabs>
        <w:ind w:hanging="0"/>
        <w:jc w:val="center"/>
        <w:rPr/>
      </w:pPr>
      <w:r>
        <w:rPr/>
        <w:drawing>
          <wp:inline distT="0" distB="0" distL="0" distR="0">
            <wp:extent cx="4330700" cy="2731770"/>
            <wp:effectExtent l="0" t="0" r="0" b="0"/>
            <wp:docPr id="35" name="Imagem 1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m 15" descr=""/>
                    <pic:cNvPicPr>
                      <a:picLocks noChangeAspect="1" noChangeArrowheads="1"/>
                    </pic:cNvPicPr>
                  </pic:nvPicPr>
                  <pic:blipFill>
                    <a:blip r:embed="rId36"/>
                    <a:stretch>
                      <a:fillRect/>
                    </a:stretch>
                  </pic:blipFill>
                  <pic:spPr bwMode="auto">
                    <a:xfrm>
                      <a:off x="0" y="0"/>
                      <a:ext cx="4330700" cy="2731770"/>
                    </a:xfrm>
                    <a:prstGeom prst="rect">
                      <a:avLst/>
                    </a:prstGeom>
                  </pic:spPr>
                </pic:pic>
              </a:graphicData>
            </a:graphic>
          </wp:inline>
        </w:drawing>
      </w:r>
    </w:p>
    <w:p>
      <w:pPr>
        <w:pStyle w:val="ListParagraph"/>
        <w:ind w:hanging="0"/>
        <w:jc w:val="center"/>
        <w:rPr>
          <w:sz w:val="20"/>
          <w:szCs w:val="20"/>
        </w:rPr>
      </w:pPr>
      <w:r>
        <w:rPr>
          <w:sz w:val="20"/>
          <w:szCs w:val="20"/>
        </w:rPr>
        <w:t>Fonte: Autor próprio (2023).</w:t>
      </w:r>
    </w:p>
    <w:p>
      <w:pPr>
        <w:pStyle w:val="ListParagraph"/>
        <w:jc w:val="center"/>
        <w:rPr>
          <w:sz w:val="20"/>
          <w:szCs w:val="20"/>
        </w:rPr>
      </w:pPr>
      <w:r>
        <w:rPr>
          <w:sz w:val="20"/>
          <w:szCs w:val="20"/>
        </w:rPr>
      </w:r>
    </w:p>
    <w:p>
      <w:pPr>
        <w:pStyle w:val="ListParagraph"/>
        <w:rPr/>
      </w:pPr>
      <w:r>
        <w:rPr/>
        <w:t>Em relação aos treinamentos dos colaboradores, constatou-se que eles foram devidamente capacitados de acordo com as normas estabelecidas na NR-01 e também na NR-18. É relevante destacar que o treinamento admissional abrange todas as informações pertinentes aos riscos associados às suas respectivas funções.</w:t>
      </w:r>
    </w:p>
    <w:p>
      <w:pPr>
        <w:pStyle w:val="ListParagraph"/>
        <w:rPr/>
      </w:pPr>
      <w:r>
        <w:rPr/>
        <w:t>Ainda em relação aos treinamentos dos colaboradores, foi verificada a aplicação de avaliações com o objetivo de verificar os conhecimentos adquiridos pelos trabalhadores. Salienta-se que não são apresentadas fotos dos certificados e das avaliações, uma vez que se trata de documentos internos da empresa. Além disso, esses documentos contêm informações pessoais, tais como o nome do colaborador, sua função, o nome da empresa e do empreendimento.</w:t>
      </w:r>
    </w:p>
    <w:p>
      <w:pPr>
        <w:pStyle w:val="ListParagraph"/>
        <w:rPr/>
      </w:pPr>
      <w:r>
        <w:rPr/>
        <w:t>Além disso, a entrada ou permanência de funcionários no canteiro de obras da Obra A é permitida somente após a autorização da equipe responsável pela segurança no trabalho, que realiza uma verificação minuciosa para garantir que estes estão resguardados pelas medidas previstas na NR-18.</w:t>
      </w:r>
    </w:p>
    <w:p>
      <w:pPr>
        <w:pStyle w:val="ListParagraph"/>
        <w:rPr/>
      </w:pPr>
      <w:r>
        <w:rPr/>
        <w:t xml:space="preserve">Em relação ao item de escadas, rampas e passarelas, em que é obrigatório a instalação quando for necessário o trânsito de pessoas sobre vãos com risco de queda de altura (Brasil, 2021), tem-se que, para o acesso ao local de execução dos serviços utilizava-se um caminho que circunstanciava a obra até o referido local. Contudo, conforme é apresentado na </w:t>
      </w:r>
      <w:r>
        <w:rPr/>
        <w:fldChar w:fldCharType="begin"/>
      </w:r>
      <w:r>
        <w:rPr/>
        <w:instrText> REF _Ref146987085 \h </w:instrText>
      </w:r>
      <w:r>
        <w:rPr/>
        <w:fldChar w:fldCharType="separate"/>
      </w:r>
      <w:r>
        <w:rPr/>
        <w:t>Figura 25</w:t>
      </w:r>
      <w:r>
        <w:rPr/>
        <w:fldChar w:fldCharType="end"/>
      </w:r>
      <w:r>
        <w:rPr/>
        <w:t xml:space="preserve">, no dia da visita ao canteiro, a instalação da escada não estava concluída. </w:t>
      </w:r>
    </w:p>
    <w:p>
      <w:pPr>
        <w:pStyle w:val="Normal"/>
        <w:rPr/>
      </w:pPr>
      <w:r>
        <w:rPr/>
      </w:r>
    </w:p>
    <w:p>
      <w:pPr>
        <w:pStyle w:val="EstiloLegenda"/>
        <w:rPr/>
      </w:pPr>
      <w:bookmarkStart w:id="126" w:name="_Toc153611308"/>
      <w:bookmarkStart w:id="127" w:name="_Ref146987085"/>
      <w:r>
        <w:rPr/>
        <w:t xml:space="preserve">Figura </w:t>
      </w:r>
      <w:r>
        <w:rPr/>
        <w:fldChar w:fldCharType="begin"/>
      </w:r>
      <w:r>
        <w:rPr/>
        <w:instrText> SEQ Figura \* ARABIC </w:instrText>
      </w:r>
      <w:r>
        <w:rPr/>
        <w:fldChar w:fldCharType="separate"/>
      </w:r>
      <w:r>
        <w:rPr/>
        <w:t>25</w:t>
      </w:r>
      <w:r>
        <w:rPr/>
        <w:fldChar w:fldCharType="end"/>
      </w:r>
      <w:bookmarkEnd w:id="127"/>
      <w:r>
        <w:rPr/>
        <w:t xml:space="preserve"> - Instalação da escada de acesso ao canteiro.</w:t>
      </w:r>
      <w:bookmarkEnd w:id="126"/>
    </w:p>
    <w:p>
      <w:pPr>
        <w:pStyle w:val="ListParagraph"/>
        <w:ind w:hanging="0"/>
        <w:jc w:val="center"/>
        <w:rPr/>
      </w:pPr>
      <w:r>
        <w:rPr/>
        <w:drawing>
          <wp:inline distT="0" distB="0" distL="0" distR="0">
            <wp:extent cx="4330700" cy="2748915"/>
            <wp:effectExtent l="0" t="0" r="0" b="0"/>
            <wp:docPr id="36" name="Imagem 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m 10" descr=""/>
                    <pic:cNvPicPr>
                      <a:picLocks noChangeAspect="1" noChangeArrowheads="1"/>
                    </pic:cNvPicPr>
                  </pic:nvPicPr>
                  <pic:blipFill>
                    <a:blip r:embed="rId37"/>
                    <a:stretch>
                      <a:fillRect/>
                    </a:stretch>
                  </pic:blipFill>
                  <pic:spPr bwMode="auto">
                    <a:xfrm>
                      <a:off x="0" y="0"/>
                      <a:ext cx="4330700" cy="2748915"/>
                    </a:xfrm>
                    <a:prstGeom prst="rect">
                      <a:avLst/>
                    </a:prstGeom>
                  </pic:spPr>
                </pic:pic>
              </a:graphicData>
            </a:graphic>
          </wp:inline>
        </w:drawing>
      </w:r>
    </w:p>
    <w:p>
      <w:pPr>
        <w:pStyle w:val="Normal"/>
        <w:jc w:val="center"/>
        <w:rPr>
          <w:sz w:val="20"/>
          <w:szCs w:val="20"/>
        </w:rPr>
      </w:pPr>
      <w:r>
        <w:rPr>
          <w:sz w:val="20"/>
          <w:szCs w:val="20"/>
        </w:rPr>
        <w:t>Fonte: Autor próprio (2023).</w:t>
      </w:r>
    </w:p>
    <w:p>
      <w:pPr>
        <w:pStyle w:val="ListParagraph"/>
        <w:rPr/>
      </w:pPr>
      <w:r>
        <w:rPr/>
      </w:r>
    </w:p>
    <w:p>
      <w:pPr>
        <w:pStyle w:val="ListParagraph"/>
        <w:rPr/>
      </w:pPr>
      <w:r>
        <w:rPr/>
        <w:t xml:space="preserve"> </w:t>
      </w:r>
      <w:r>
        <w:rPr/>
        <w:t xml:space="preserve">Para realizar o retorno, seja para acessar a área administrativa, seja aos sanitários, os trabalhadores não utilizavam o caminho seguro que deveria ser usado. Muitos utilizavam um acesso improvisado, criado por meio de uma rampa, ao lado do local onde se realizava a retirada de terra no terreno, conforme apontado na </w:t>
      </w:r>
      <w:r>
        <w:rPr/>
        <w:fldChar w:fldCharType="begin"/>
      </w:r>
      <w:r>
        <w:rPr/>
        <w:instrText> REF _Ref146988179 \h </w:instrText>
      </w:r>
      <w:r>
        <w:rPr/>
        <w:fldChar w:fldCharType="separate"/>
      </w:r>
      <w:r>
        <w:rPr/>
        <w:t>Figura 26</w:t>
      </w:r>
      <w:r>
        <w:rPr/>
        <w:fldChar w:fldCharType="end"/>
      </w:r>
      <w:r>
        <w:rPr/>
        <w:t>. Constatou-se que o acesso pela rampa improvisada configura uma não conformidade, tendo em vista que naquele ambiente havia máquinas operando.</w:t>
      </w:r>
    </w:p>
    <w:p>
      <w:pPr>
        <w:pStyle w:val="EstiloLegenda"/>
        <w:rPr/>
      </w:pPr>
      <w:bookmarkStart w:id="128" w:name="_Toc153611309"/>
      <w:bookmarkStart w:id="129" w:name="_Ref146988179"/>
      <w:r>
        <w:rPr/>
        <w:t xml:space="preserve">Figura </w:t>
      </w:r>
      <w:r>
        <w:rPr/>
        <w:fldChar w:fldCharType="begin"/>
      </w:r>
      <w:r>
        <w:rPr/>
        <w:instrText> SEQ Figura \* ARABIC </w:instrText>
      </w:r>
      <w:r>
        <w:rPr/>
        <w:fldChar w:fldCharType="separate"/>
      </w:r>
      <w:r>
        <w:rPr/>
        <w:t>26</w:t>
      </w:r>
      <w:r>
        <w:rPr/>
        <w:fldChar w:fldCharType="end"/>
      </w:r>
      <w:bookmarkEnd w:id="129"/>
      <w:r>
        <w:rPr/>
        <w:t xml:space="preserve"> - Acesso improvisado.</w:t>
      </w:r>
      <w:bookmarkEnd w:id="128"/>
    </w:p>
    <w:p>
      <w:pPr>
        <w:pStyle w:val="ListParagraph"/>
        <w:ind w:hanging="0"/>
        <w:jc w:val="center"/>
        <w:rPr/>
      </w:pPr>
      <w:r>
        <w:rPr/>
        <w:drawing>
          <wp:inline distT="0" distB="0" distL="0" distR="0">
            <wp:extent cx="4330700" cy="2595880"/>
            <wp:effectExtent l="0" t="0" r="0" b="0"/>
            <wp:docPr id="37" name="Imagem 1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m 18" descr=""/>
                    <pic:cNvPicPr>
                      <a:picLocks noChangeAspect="1" noChangeArrowheads="1"/>
                    </pic:cNvPicPr>
                  </pic:nvPicPr>
                  <pic:blipFill>
                    <a:blip r:embed="rId38"/>
                    <a:stretch>
                      <a:fillRect/>
                    </a:stretch>
                  </pic:blipFill>
                  <pic:spPr bwMode="auto">
                    <a:xfrm>
                      <a:off x="0" y="0"/>
                      <a:ext cx="4330700" cy="2595880"/>
                    </a:xfrm>
                    <a:prstGeom prst="rect">
                      <a:avLst/>
                    </a:prstGeom>
                  </pic:spPr>
                </pic:pic>
              </a:graphicData>
            </a:graphic>
          </wp:inline>
        </w:drawing>
      </w:r>
    </w:p>
    <w:p>
      <w:pPr>
        <w:pStyle w:val="ListParagraph"/>
        <w:ind w:hanging="0"/>
        <w:jc w:val="center"/>
        <w:rPr>
          <w:sz w:val="20"/>
          <w:szCs w:val="20"/>
        </w:rPr>
      </w:pPr>
      <w:r>
        <w:rPr>
          <w:sz w:val="20"/>
          <w:szCs w:val="20"/>
        </w:rPr>
        <w:t>Fonte: Autor próprio (2023).</w:t>
      </w:r>
    </w:p>
    <w:p>
      <w:pPr>
        <w:pStyle w:val="Normal"/>
        <w:rPr/>
      </w:pPr>
      <w:r>
        <w:rPr/>
      </w:r>
    </w:p>
    <w:p>
      <w:pPr>
        <w:pStyle w:val="ListParagraph"/>
        <w:rPr>
          <w:rStyle w:val="BookTitle"/>
          <w:b w:val="false"/>
          <w:b w:val="false"/>
          <w:bCs w:val="false"/>
          <w:i w:val="false"/>
          <w:i w:val="false"/>
          <w:iCs w:val="false"/>
          <w:spacing w:val="0"/>
        </w:rPr>
      </w:pPr>
      <w:bookmarkStart w:id="130" w:name="_Toc136701968"/>
      <w:bookmarkEnd w:id="98"/>
      <w:r>
        <w:rPr>
          <w:rStyle w:val="BookTitle"/>
          <w:b w:val="false"/>
          <w:bCs w:val="false"/>
          <w:i w:val="false"/>
          <w:iCs w:val="false"/>
          <w:spacing w:val="0"/>
        </w:rPr>
        <w:t xml:space="preserve">É importante destacar que foram identificados dois itens não conformes relacionado à presença de ferramentas manuais em locais impróprios e a condutores elétricos na circulação de pessoas. Em que, foi observada uma serra circular manual conectada à rede elétrica por meio de uma extensão localizada no chão, em uma área de passagem utilizada por outros colaboradores, conforme ilustrado na </w:t>
      </w:r>
      <w:r>
        <w:rPr>
          <w:rStyle w:val="BookTitle"/>
          <w:b w:val="false"/>
          <w:bCs w:val="false"/>
          <w:i w:val="false"/>
          <w:iCs w:val="false"/>
          <w:spacing w:val="0"/>
        </w:rPr>
        <w:fldChar w:fldCharType="begin"/>
      </w:r>
      <w:r>
        <w:rPr>
          <w:rStyle w:val="BookTitle"/>
          <w:spacing w:val="0"/>
          <w:i w:val="false"/>
          <w:b w:val="false"/>
          <w:iCs w:val="false"/>
          <w:bCs w:val="false"/>
        </w:rPr>
        <w:instrText> REF _Ref146988367 \h </w:instrText>
      </w:r>
      <w:r>
        <w:rPr>
          <w:rStyle w:val="BookTitle"/>
          <w:spacing w:val="0"/>
          <w:i w:val="false"/>
          <w:b w:val="false"/>
          <w:iCs w:val="false"/>
          <w:bCs w:val="false"/>
        </w:rPr>
        <w:fldChar w:fldCharType="separate"/>
      </w:r>
      <w:r>
        <w:rPr>
          <w:rStyle w:val="BookTitle"/>
          <w:spacing w:val="0"/>
          <w:i w:val="false"/>
          <w:b w:val="false"/>
          <w:iCs w:val="false"/>
          <w:bCs w:val="false"/>
        </w:rPr>
        <w:t>Figura 27</w:t>
      </w:r>
      <w:r>
        <w:rPr>
          <w:rStyle w:val="BookTitle"/>
          <w:spacing w:val="0"/>
          <w:i w:val="false"/>
          <w:b w:val="false"/>
          <w:iCs w:val="false"/>
          <w:bCs w:val="false"/>
        </w:rPr>
        <w:fldChar w:fldCharType="end"/>
      </w:r>
      <w:r>
        <w:rPr>
          <w:rStyle w:val="BookTitle"/>
          <w:b w:val="false"/>
          <w:bCs w:val="false"/>
          <w:i w:val="false"/>
          <w:iCs w:val="false"/>
          <w:spacing w:val="0"/>
        </w:rPr>
        <w:t>.</w:t>
      </w:r>
    </w:p>
    <w:p>
      <w:pPr>
        <w:pStyle w:val="Normal"/>
        <w:rPr/>
      </w:pPr>
      <w:r>
        <w:rPr/>
      </w:r>
    </w:p>
    <w:p>
      <w:pPr>
        <w:pStyle w:val="EstiloLegenda"/>
        <w:rPr/>
      </w:pPr>
      <w:bookmarkStart w:id="131" w:name="_Toc153611310"/>
      <w:bookmarkStart w:id="132" w:name="_Ref146988367"/>
      <w:r>
        <w:rPr/>
        <w:t xml:space="preserve">Figura </w:t>
      </w:r>
      <w:r>
        <w:rPr/>
        <w:fldChar w:fldCharType="begin"/>
      </w:r>
      <w:r>
        <w:rPr/>
        <w:instrText> SEQ Figura \* ARABIC </w:instrText>
      </w:r>
      <w:r>
        <w:rPr/>
        <w:fldChar w:fldCharType="separate"/>
      </w:r>
      <w:r>
        <w:rPr/>
        <w:t>27</w:t>
      </w:r>
      <w:r>
        <w:rPr/>
        <w:fldChar w:fldCharType="end"/>
      </w:r>
      <w:bookmarkEnd w:id="132"/>
      <w:r>
        <w:rPr/>
        <w:t xml:space="preserve"> - Extensão conectada à rede elétrica no chão.</w:t>
      </w:r>
      <w:bookmarkEnd w:id="131"/>
    </w:p>
    <w:p>
      <w:pPr>
        <w:pStyle w:val="ListParagraph"/>
        <w:ind w:hanging="0"/>
        <w:jc w:val="center"/>
        <w:rPr/>
      </w:pPr>
      <w:r>
        <w:rPr/>
        <w:drawing>
          <wp:inline distT="0" distB="0" distL="0" distR="0">
            <wp:extent cx="4330700" cy="2412365"/>
            <wp:effectExtent l="0" t="0" r="0" b="0"/>
            <wp:docPr id="38" name="Imagem 1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m 19" descr=""/>
                    <pic:cNvPicPr>
                      <a:picLocks noChangeAspect="1" noChangeArrowheads="1"/>
                    </pic:cNvPicPr>
                  </pic:nvPicPr>
                  <pic:blipFill>
                    <a:blip r:embed="rId39"/>
                    <a:stretch>
                      <a:fillRect/>
                    </a:stretch>
                  </pic:blipFill>
                  <pic:spPr bwMode="auto">
                    <a:xfrm>
                      <a:off x="0" y="0"/>
                      <a:ext cx="4330700" cy="2412365"/>
                    </a:xfrm>
                    <a:prstGeom prst="rect">
                      <a:avLst/>
                    </a:prstGeom>
                  </pic:spPr>
                </pic:pic>
              </a:graphicData>
            </a:graphic>
          </wp:inline>
        </w:drawing>
      </w:r>
    </w:p>
    <w:p>
      <w:pPr>
        <w:pStyle w:val="ListParagraph"/>
        <w:ind w:hanging="0"/>
        <w:jc w:val="center"/>
        <w:rPr>
          <w:sz w:val="20"/>
          <w:szCs w:val="20"/>
        </w:rPr>
      </w:pPr>
      <w:r>
        <w:rPr>
          <w:sz w:val="20"/>
          <w:szCs w:val="20"/>
        </w:rPr>
        <w:t>Fonte: Autor próprio (2023).</w:t>
      </w:r>
    </w:p>
    <w:p>
      <w:pPr>
        <w:pStyle w:val="ListParagraph"/>
        <w:ind w:hanging="0"/>
        <w:jc w:val="center"/>
        <w:rPr>
          <w:sz w:val="20"/>
          <w:szCs w:val="20"/>
        </w:rPr>
      </w:pPr>
      <w:r>
        <w:rPr>
          <w:sz w:val="20"/>
          <w:szCs w:val="20"/>
        </w:rPr>
      </w:r>
    </w:p>
    <w:p>
      <w:pPr>
        <w:pStyle w:val="ListParagraph"/>
        <w:rPr/>
      </w:pPr>
      <w:r>
        <w:rPr/>
        <w:t xml:space="preserve">A norma também determina que o canteiro de obras deve estar organizado, limpo e livre de obstruções, especialmente nas áreas de circulação (Brasil, 2021). Nesse contexto, como ilustrado na </w:t>
      </w:r>
      <w:r>
        <w:rPr/>
        <w:fldChar w:fldCharType="begin"/>
      </w:r>
      <w:r>
        <w:rPr/>
        <w:instrText> REF _Ref146990285 \h </w:instrText>
      </w:r>
      <w:r>
        <w:rPr/>
        <w:fldChar w:fldCharType="separate"/>
      </w:r>
      <w:r>
        <w:rPr/>
        <w:t>Figura 28</w:t>
      </w:r>
      <w:r>
        <w:rPr/>
        <w:fldChar w:fldCharType="end"/>
      </w:r>
      <w:r>
        <w:rPr/>
        <w:t>, foi observada a dispersão de vários materiais pelo canteiro, obstruindo as vias de passagem. Isso exige que os colaboradores tenham que desviar desses obstáculos, o que configura uma não conformidade de acordo com a NR-18.</w:t>
      </w:r>
    </w:p>
    <w:p>
      <w:pPr>
        <w:pStyle w:val="EstiloLegenda"/>
        <w:jc w:val="both"/>
        <w:rPr>
          <w:rFonts w:eastAsia="Calibri" w:cs="" w:cstheme="minorBidi" w:eastAsiaTheme="minorHAnsi"/>
          <w:iCs w:val="false"/>
          <w:sz w:val="24"/>
          <w:szCs w:val="22"/>
        </w:rPr>
      </w:pPr>
      <w:r>
        <w:rPr>
          <w:rFonts w:eastAsia="Calibri" w:cs="" w:cstheme="minorBidi" w:eastAsiaTheme="minorHAnsi"/>
          <w:iCs w:val="false"/>
          <w:sz w:val="24"/>
          <w:szCs w:val="22"/>
        </w:rPr>
      </w:r>
      <w:bookmarkStart w:id="133" w:name="_Ref146989661"/>
      <w:bookmarkStart w:id="134" w:name="_Ref146989661"/>
    </w:p>
    <w:p>
      <w:pPr>
        <w:pStyle w:val="EstiloLegenda"/>
        <w:rPr/>
      </w:pPr>
      <w:bookmarkStart w:id="135" w:name="_Toc153611311"/>
      <w:bookmarkStart w:id="136" w:name="_Ref146990285"/>
      <w:r>
        <w:rPr/>
        <w:t xml:space="preserve">Figura </w:t>
      </w:r>
      <w:r>
        <w:rPr/>
        <w:fldChar w:fldCharType="begin"/>
      </w:r>
      <w:r>
        <w:rPr/>
        <w:instrText> SEQ Figura \* ARABIC </w:instrText>
      </w:r>
      <w:r>
        <w:rPr/>
        <w:fldChar w:fldCharType="separate"/>
      </w:r>
      <w:r>
        <w:rPr/>
        <w:t>28</w:t>
      </w:r>
      <w:r>
        <w:rPr/>
        <w:fldChar w:fldCharType="end"/>
      </w:r>
      <w:bookmarkEnd w:id="134"/>
      <w:bookmarkEnd w:id="136"/>
      <w:r>
        <w:rPr/>
        <w:t xml:space="preserve"> - Materiais fora de lugar e em local de passagem.</w:t>
      </w:r>
      <w:bookmarkEnd w:id="135"/>
    </w:p>
    <w:p>
      <w:pPr>
        <w:pStyle w:val="ListParagraph"/>
        <w:ind w:hanging="0"/>
        <w:jc w:val="center"/>
        <w:rPr>
          <w:sz w:val="20"/>
          <w:szCs w:val="20"/>
        </w:rPr>
      </w:pPr>
      <w:r>
        <w:rPr/>
        <w:drawing>
          <wp:inline distT="0" distB="0" distL="0" distR="0">
            <wp:extent cx="4330700" cy="2133600"/>
            <wp:effectExtent l="0" t="0" r="0" b="0"/>
            <wp:docPr id="39" name="Figura1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Figura12" descr=""/>
                    <pic:cNvPicPr>
                      <a:picLocks noChangeAspect="1" noChangeArrowheads="1"/>
                    </pic:cNvPicPr>
                  </pic:nvPicPr>
                  <pic:blipFill>
                    <a:blip r:embed="rId40"/>
                    <a:stretch>
                      <a:fillRect/>
                    </a:stretch>
                  </pic:blipFill>
                  <pic:spPr bwMode="auto">
                    <a:xfrm>
                      <a:off x="0" y="0"/>
                      <a:ext cx="4330700" cy="2133600"/>
                    </a:xfrm>
                    <a:prstGeom prst="rect">
                      <a:avLst/>
                    </a:prstGeom>
                  </pic:spPr>
                </pic:pic>
              </a:graphicData>
            </a:graphic>
          </wp:inline>
        </w:drawing>
      </w:r>
    </w:p>
    <w:p>
      <w:pPr>
        <w:pStyle w:val="ListParagraph"/>
        <w:ind w:hanging="0"/>
        <w:jc w:val="center"/>
        <w:rPr>
          <w:sz w:val="20"/>
          <w:szCs w:val="20"/>
        </w:rPr>
      </w:pPr>
      <w:r>
        <w:rPr>
          <w:sz w:val="20"/>
          <w:szCs w:val="20"/>
        </w:rPr>
        <w:t>Fonte: Autor próprio (2023).</w:t>
      </w:r>
    </w:p>
    <w:p>
      <w:pPr>
        <w:pStyle w:val="ListParagraph"/>
        <w:ind w:hanging="0"/>
        <w:jc w:val="center"/>
        <w:rPr>
          <w:sz w:val="20"/>
          <w:szCs w:val="20"/>
        </w:rPr>
      </w:pPr>
      <w:r>
        <w:rPr>
          <w:sz w:val="20"/>
          <w:szCs w:val="20"/>
        </w:rPr>
      </w:r>
    </w:p>
    <w:p>
      <w:pPr>
        <w:pStyle w:val="ListParagraph"/>
        <w:rPr/>
      </w:pPr>
      <w:r>
        <w:rPr/>
        <w:t>De acordo com o estipulado na Norma Regulamentadora NR-18, a capacitação dos colaboradores deve ser realizada em conformidade com as diretrizes estabelecidas pela NR-1. Nesse contexto, a NR-1 enfatiza que a responsabilidade de informar os trabalhadores sobre os riscos ocupacionais existentes recai sobre o empregador (Brasil, 2022a). Entretanto, a norma também estabelece que é dever do próprio trabalhador utilizar o Equipamento de Proteção Individual (EPI) fornecido pela empresa.</w:t>
      </w:r>
    </w:p>
    <w:p>
      <w:pPr>
        <w:pStyle w:val="ListParagraph"/>
        <w:rPr/>
      </w:pPr>
      <w:r>
        <w:rPr/>
        <w:t xml:space="preserve">Conforme demostrado na </w:t>
      </w:r>
      <w:r>
        <w:rPr>
          <w:rFonts w:eastAsia="Times New Roman" w:cs="Times New Roman"/>
          <w:iCs/>
          <w:sz w:val="20"/>
          <w:szCs w:val="20"/>
        </w:rPr>
        <w:fldChar w:fldCharType="begin"/>
      </w:r>
      <w:r>
        <w:rPr>
          <w:sz w:val="20"/>
          <w:szCs w:val="20"/>
          <w:iCs/>
          <w:rFonts w:eastAsia="Times New Roman" w:cs="Times New Roman"/>
        </w:rPr>
        <w:instrText> REF _Ref151317820 \h </w:instrText>
      </w:r>
      <w:r>
        <w:rPr>
          <w:sz w:val="20"/>
          <w:szCs w:val="20"/>
          <w:iCs/>
          <w:rFonts w:eastAsia="Times New Roman" w:cs="Times New Roman"/>
        </w:rPr>
        <w:fldChar w:fldCharType="separate"/>
      </w:r>
      <w:r>
        <w:rPr>
          <w:sz w:val="20"/>
          <w:szCs w:val="20"/>
          <w:iCs/>
          <w:rFonts w:eastAsia="Times New Roman" w:cs="Times New Roman"/>
        </w:rPr>
        <w:t>Figura 29</w:t>
      </w:r>
      <w:r>
        <w:rPr>
          <w:sz w:val="20"/>
          <w:szCs w:val="20"/>
          <w:iCs/>
          <w:rFonts w:eastAsia="Times New Roman" w:cs="Times New Roman"/>
        </w:rPr>
        <w:fldChar w:fldCharType="end"/>
      </w:r>
      <w:r>
        <w:rPr/>
        <w:t xml:space="preserve">, observa-se um trabalhador executando suas tarefas sem o devido uso de um EPI, neste caso, especificamente, as luvas. </w:t>
      </w:r>
    </w:p>
    <w:p>
      <w:pPr>
        <w:pStyle w:val="EstiloLegenda"/>
        <w:rPr/>
      </w:pPr>
      <w:r>
        <w:rPr/>
      </w:r>
      <w:bookmarkStart w:id="137" w:name="_Ref147044059"/>
      <w:bookmarkStart w:id="138" w:name="_Ref147044059"/>
    </w:p>
    <w:p>
      <w:pPr>
        <w:pStyle w:val="EstiloLegenda"/>
        <w:rPr/>
      </w:pPr>
      <w:bookmarkStart w:id="139" w:name="_Toc153611312"/>
      <w:bookmarkStart w:id="140" w:name="_Ref151317820"/>
      <w:r>
        <w:rPr/>
        <w:t xml:space="preserve">Figura </w:t>
      </w:r>
      <w:r>
        <w:rPr/>
        <w:fldChar w:fldCharType="begin"/>
      </w:r>
      <w:r>
        <w:rPr/>
        <w:instrText> SEQ Figura \* ARABIC </w:instrText>
      </w:r>
      <w:r>
        <w:rPr/>
        <w:fldChar w:fldCharType="separate"/>
      </w:r>
      <w:r>
        <w:rPr/>
        <w:t>29</w:t>
      </w:r>
      <w:r>
        <w:rPr/>
        <w:fldChar w:fldCharType="end"/>
      </w:r>
      <w:bookmarkEnd w:id="138"/>
      <w:bookmarkEnd w:id="140"/>
      <w:r>
        <w:rPr/>
        <w:t xml:space="preserve"> - Colaborador sem EPI.</w:t>
      </w:r>
      <w:bookmarkEnd w:id="139"/>
    </w:p>
    <w:p>
      <w:pPr>
        <w:pStyle w:val="ListParagraph"/>
        <w:tabs>
          <w:tab w:val="clear" w:pos="708"/>
          <w:tab w:val="left" w:pos="284" w:leader="none"/>
          <w:tab w:val="left" w:pos="426" w:leader="none"/>
          <w:tab w:val="left" w:pos="709" w:leader="none"/>
        </w:tabs>
        <w:ind w:hanging="0"/>
        <w:jc w:val="center"/>
        <w:rPr/>
      </w:pPr>
      <w:r>
        <w:rPr/>
        <w:drawing>
          <wp:inline distT="0" distB="0" distL="0" distR="0">
            <wp:extent cx="4330700" cy="2129155"/>
            <wp:effectExtent l="0" t="0" r="0" b="0"/>
            <wp:docPr id="40" name="Figura1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Figura13" descr=""/>
                    <pic:cNvPicPr>
                      <a:picLocks noChangeAspect="1" noChangeArrowheads="1"/>
                    </pic:cNvPicPr>
                  </pic:nvPicPr>
                  <pic:blipFill>
                    <a:blip r:embed="rId41"/>
                    <a:stretch>
                      <a:fillRect/>
                    </a:stretch>
                  </pic:blipFill>
                  <pic:spPr bwMode="auto">
                    <a:xfrm>
                      <a:off x="0" y="0"/>
                      <a:ext cx="4330700" cy="2129155"/>
                    </a:xfrm>
                    <a:prstGeom prst="rect">
                      <a:avLst/>
                    </a:prstGeom>
                  </pic:spPr>
                </pic:pic>
              </a:graphicData>
            </a:graphic>
          </wp:inline>
        </w:drawing>
      </w:r>
    </w:p>
    <w:p>
      <w:pPr>
        <w:pStyle w:val="ListParagraph"/>
        <w:ind w:hanging="0"/>
        <w:jc w:val="center"/>
        <w:rPr>
          <w:sz w:val="20"/>
          <w:szCs w:val="20"/>
        </w:rPr>
      </w:pPr>
      <w:r>
        <w:rPr>
          <w:sz w:val="20"/>
          <w:szCs w:val="20"/>
        </w:rPr>
        <w:t>Fonte: Autor próprio (2023).</w:t>
      </w:r>
    </w:p>
    <w:p>
      <w:pPr>
        <w:pStyle w:val="ListParagraph"/>
        <w:rPr/>
      </w:pPr>
      <w:r>
        <w:rPr/>
        <w:t xml:space="preserve">Assim, esta situação demonstrada na </w:t>
      </w:r>
      <w:r>
        <w:rPr/>
        <w:fldChar w:fldCharType="begin"/>
      </w:r>
      <w:r>
        <w:rPr/>
        <w:instrText> REF _Ref151317820 \h </w:instrText>
      </w:r>
      <w:r>
        <w:rPr/>
        <w:fldChar w:fldCharType="separate"/>
      </w:r>
      <w:r>
        <w:rPr/>
        <w:t>Figura 29</w:t>
      </w:r>
      <w:r>
        <w:rPr/>
        <w:fldChar w:fldCharType="end"/>
      </w:r>
      <w:r>
        <w:rPr/>
        <w:t xml:space="preserve"> evidencia a importância de uma formação adequada e do cumprimento das diretrizes estabelecidas pelas normas regulamentadoras para garantir a segurança dos trabalhadores no ambiente de trabalho e desta forma evitar-se que acidentes de trabalho ocorra pela ausência da utilização do EPI.</w:t>
      </w:r>
    </w:p>
    <w:p>
      <w:pPr>
        <w:pStyle w:val="ListParagraph"/>
        <w:rPr/>
      </w:pPr>
      <w:r>
        <w:rPr/>
        <w:t xml:space="preserve">No </w:t>
      </w:r>
      <w:r>
        <w:rPr/>
        <w:fldChar w:fldCharType="begin"/>
      </w:r>
      <w:r>
        <w:rPr/>
        <w:instrText> REF _Ref147068413 \h </w:instrText>
      </w:r>
      <w:r>
        <w:rPr/>
        <w:fldChar w:fldCharType="separate"/>
      </w:r>
      <w:r>
        <w:rPr/>
        <w:t>Quadro 2</w:t>
      </w:r>
      <w:r>
        <w:rPr/>
        <w:fldChar w:fldCharType="end"/>
      </w:r>
      <w:r>
        <w:rPr/>
        <w:t xml:space="preserve"> é apresentado a quantidade total de itens conformes, itens não conformes, itens parciais e itens não avaliados que foram constatados na Obra A, através do </w:t>
      </w:r>
      <w:r>
        <w:rPr>
          <w:i/>
          <w:iCs/>
        </w:rPr>
        <w:t xml:space="preserve">checklist </w:t>
      </w:r>
      <w:r>
        <w:rPr/>
        <w:t xml:space="preserve">preenchido de acordo com o </w:t>
      </w:r>
      <w:r>
        <w:rPr/>
        <w:fldChar w:fldCharType="begin"/>
      </w:r>
      <w:r>
        <w:rPr/>
        <w:instrText> REF _Ref136185560 \h </w:instrText>
      </w:r>
      <w:r>
        <w:rPr/>
        <w:fldChar w:fldCharType="separate"/>
      </w:r>
      <w:r>
        <w:rPr/>
        <w:t>Quadro 1</w:t>
      </w:r>
      <w:r>
        <w:rPr/>
        <w:fldChar w:fldCharType="end"/>
      </w:r>
      <w:r>
        <w:rPr/>
        <w:t>.</w:t>
      </w:r>
    </w:p>
    <w:p>
      <w:pPr>
        <w:pStyle w:val="EstiloLegenda"/>
        <w:rPr/>
      </w:pPr>
      <w:r>
        <w:rPr/>
      </w:r>
    </w:p>
    <w:p>
      <w:pPr>
        <w:pStyle w:val="EstiloLegenda"/>
        <w:rPr/>
      </w:pPr>
      <w:bookmarkStart w:id="141" w:name="_Toc153384325"/>
      <w:bookmarkStart w:id="142" w:name="_Ref147068413"/>
      <w:r>
        <w:rPr/>
        <w:t xml:space="preserve">Quadro </w:t>
      </w:r>
      <w:r>
        <w:rPr/>
        <w:fldChar w:fldCharType="begin"/>
      </w:r>
      <w:r>
        <w:rPr/>
        <w:instrText> SEQ Quadro \* ARABIC </w:instrText>
      </w:r>
      <w:r>
        <w:rPr/>
        <w:fldChar w:fldCharType="separate"/>
      </w:r>
      <w:r>
        <w:rPr/>
        <w:t>2</w:t>
      </w:r>
      <w:r>
        <w:rPr/>
        <w:fldChar w:fldCharType="end"/>
      </w:r>
      <w:bookmarkEnd w:id="142"/>
      <w:r>
        <w:rPr/>
        <w:t xml:space="preserve"> - Totais de itens - Obra A.</w:t>
      </w:r>
      <w:bookmarkEnd w:id="141"/>
    </w:p>
    <w:tbl>
      <w:tblPr>
        <w:tblStyle w:val="Tabelacomgrade"/>
        <w:tblW w:w="9061" w:type="dxa"/>
        <w:jc w:val="left"/>
        <w:tblInd w:w="0" w:type="dxa"/>
        <w:tblCellMar>
          <w:top w:w="0" w:type="dxa"/>
          <w:left w:w="108" w:type="dxa"/>
          <w:bottom w:w="0" w:type="dxa"/>
          <w:right w:w="108" w:type="dxa"/>
        </w:tblCellMar>
        <w:tblLook w:firstRow="1" w:noVBand="1" w:lastRow="0" w:firstColumn="1" w:lastColumn="0" w:noHBand="0" w:val="04a0"/>
      </w:tblPr>
      <w:tblGrid>
        <w:gridCol w:w="4530"/>
        <w:gridCol w:w="4530"/>
      </w:tblGrid>
      <w:tr>
        <w:trPr/>
        <w:tc>
          <w:tcPr>
            <w:tcW w:w="4530" w:type="dxa"/>
            <w:tcBorders/>
            <w:shd w:color="auto" w:fill="E7E6E6" w:themeFill="background2" w:val="clear"/>
            <w:vAlign w:val="center"/>
          </w:tcPr>
          <w:p>
            <w:pPr>
              <w:pStyle w:val="ListParagraph"/>
              <w:ind w:hanging="0"/>
              <w:jc w:val="center"/>
              <w:rPr>
                <w:b/>
                <w:b/>
                <w:bCs/>
                <w:color w:val="000000" w:themeColor="text1"/>
                <w:sz w:val="20"/>
                <w:szCs w:val="20"/>
              </w:rPr>
            </w:pPr>
            <w:r>
              <w:rPr>
                <w:b/>
                <w:bCs/>
                <w:color w:val="000000" w:themeColor="text1"/>
                <w:sz w:val="20"/>
                <w:szCs w:val="20"/>
              </w:rPr>
              <w:t xml:space="preserve">Descrição </w:t>
            </w:r>
          </w:p>
        </w:tc>
        <w:tc>
          <w:tcPr>
            <w:tcW w:w="4530" w:type="dxa"/>
            <w:tcBorders/>
            <w:shd w:color="auto" w:fill="E7E6E6" w:themeFill="background2" w:val="clear"/>
            <w:vAlign w:val="center"/>
          </w:tcPr>
          <w:p>
            <w:pPr>
              <w:pStyle w:val="ListParagraph"/>
              <w:ind w:hanging="0"/>
              <w:jc w:val="center"/>
              <w:rPr>
                <w:b/>
                <w:b/>
                <w:bCs/>
                <w:color w:val="000000" w:themeColor="text1"/>
                <w:sz w:val="20"/>
                <w:szCs w:val="20"/>
              </w:rPr>
            </w:pPr>
            <w:r>
              <w:rPr>
                <w:b/>
                <w:bCs/>
                <w:color w:val="000000" w:themeColor="text1"/>
                <w:sz w:val="20"/>
                <w:szCs w:val="20"/>
              </w:rPr>
              <w:t>Total</w:t>
            </w:r>
          </w:p>
        </w:tc>
      </w:tr>
      <w:tr>
        <w:trPr/>
        <w:tc>
          <w:tcPr>
            <w:tcW w:w="4530" w:type="dxa"/>
            <w:tcBorders/>
            <w:vAlign w:val="center"/>
          </w:tcPr>
          <w:p>
            <w:pPr>
              <w:pStyle w:val="ListParagraph"/>
              <w:ind w:hanging="0"/>
              <w:jc w:val="center"/>
              <w:rPr>
                <w:sz w:val="20"/>
                <w:szCs w:val="20"/>
              </w:rPr>
            </w:pPr>
            <w:r>
              <w:rPr>
                <w:sz w:val="20"/>
                <w:szCs w:val="20"/>
              </w:rPr>
              <w:t>Total de itens conformes</w:t>
            </w:r>
          </w:p>
        </w:tc>
        <w:tc>
          <w:tcPr>
            <w:tcW w:w="4530" w:type="dxa"/>
            <w:tcBorders/>
            <w:vAlign w:val="center"/>
          </w:tcPr>
          <w:p>
            <w:pPr>
              <w:pStyle w:val="ListParagraph"/>
              <w:ind w:hanging="0"/>
              <w:jc w:val="center"/>
              <w:rPr>
                <w:sz w:val="20"/>
                <w:szCs w:val="20"/>
              </w:rPr>
            </w:pPr>
            <w:r>
              <w:rPr>
                <w:sz w:val="20"/>
                <w:szCs w:val="20"/>
              </w:rPr>
              <w:t>26</w:t>
            </w:r>
          </w:p>
        </w:tc>
      </w:tr>
      <w:tr>
        <w:trPr/>
        <w:tc>
          <w:tcPr>
            <w:tcW w:w="4530" w:type="dxa"/>
            <w:tcBorders/>
            <w:vAlign w:val="center"/>
          </w:tcPr>
          <w:p>
            <w:pPr>
              <w:pStyle w:val="ListParagraph"/>
              <w:ind w:hanging="0"/>
              <w:jc w:val="center"/>
              <w:rPr>
                <w:sz w:val="20"/>
                <w:szCs w:val="20"/>
              </w:rPr>
            </w:pPr>
            <w:r>
              <w:rPr>
                <w:sz w:val="20"/>
                <w:szCs w:val="20"/>
              </w:rPr>
              <w:t>Total de itens não conformes</w:t>
            </w:r>
          </w:p>
        </w:tc>
        <w:tc>
          <w:tcPr>
            <w:tcW w:w="4530" w:type="dxa"/>
            <w:tcBorders/>
            <w:vAlign w:val="center"/>
          </w:tcPr>
          <w:p>
            <w:pPr>
              <w:pStyle w:val="ListParagraph"/>
              <w:ind w:hanging="0"/>
              <w:jc w:val="center"/>
              <w:rPr>
                <w:sz w:val="20"/>
                <w:szCs w:val="20"/>
              </w:rPr>
            </w:pPr>
            <w:r>
              <w:rPr>
                <w:sz w:val="20"/>
                <w:szCs w:val="20"/>
              </w:rPr>
              <w:t>7</w:t>
            </w:r>
          </w:p>
        </w:tc>
      </w:tr>
      <w:tr>
        <w:trPr/>
        <w:tc>
          <w:tcPr>
            <w:tcW w:w="4530" w:type="dxa"/>
            <w:tcBorders/>
            <w:vAlign w:val="center"/>
          </w:tcPr>
          <w:p>
            <w:pPr>
              <w:pStyle w:val="ListParagraph"/>
              <w:ind w:hanging="0"/>
              <w:jc w:val="center"/>
              <w:rPr>
                <w:sz w:val="20"/>
                <w:szCs w:val="20"/>
              </w:rPr>
            </w:pPr>
            <w:r>
              <w:rPr>
                <w:sz w:val="20"/>
                <w:szCs w:val="20"/>
              </w:rPr>
              <w:t>Total de itens parciais</w:t>
            </w:r>
          </w:p>
        </w:tc>
        <w:tc>
          <w:tcPr>
            <w:tcW w:w="4530" w:type="dxa"/>
            <w:tcBorders/>
            <w:vAlign w:val="center"/>
          </w:tcPr>
          <w:p>
            <w:pPr>
              <w:pStyle w:val="ListParagraph"/>
              <w:ind w:hanging="0"/>
              <w:jc w:val="center"/>
              <w:rPr>
                <w:sz w:val="20"/>
                <w:szCs w:val="20"/>
              </w:rPr>
            </w:pPr>
            <w:r>
              <w:rPr>
                <w:sz w:val="20"/>
                <w:szCs w:val="20"/>
              </w:rPr>
              <w:t>1</w:t>
            </w:r>
          </w:p>
        </w:tc>
      </w:tr>
      <w:tr>
        <w:trPr/>
        <w:tc>
          <w:tcPr>
            <w:tcW w:w="4530" w:type="dxa"/>
            <w:tcBorders/>
            <w:vAlign w:val="center"/>
          </w:tcPr>
          <w:p>
            <w:pPr>
              <w:pStyle w:val="ListParagraph"/>
              <w:ind w:hanging="0"/>
              <w:jc w:val="center"/>
              <w:rPr>
                <w:sz w:val="20"/>
                <w:szCs w:val="20"/>
              </w:rPr>
            </w:pPr>
            <w:r>
              <w:rPr>
                <w:sz w:val="20"/>
                <w:szCs w:val="20"/>
              </w:rPr>
              <w:t xml:space="preserve">Total de itens não avaliados </w:t>
            </w:r>
          </w:p>
        </w:tc>
        <w:tc>
          <w:tcPr>
            <w:tcW w:w="4530" w:type="dxa"/>
            <w:tcBorders/>
            <w:vAlign w:val="center"/>
          </w:tcPr>
          <w:p>
            <w:pPr>
              <w:pStyle w:val="ListParagraph"/>
              <w:ind w:hanging="0"/>
              <w:jc w:val="center"/>
              <w:rPr>
                <w:sz w:val="20"/>
                <w:szCs w:val="20"/>
              </w:rPr>
            </w:pPr>
            <w:r>
              <w:rPr>
                <w:sz w:val="20"/>
                <w:szCs w:val="20"/>
              </w:rPr>
              <w:t>5</w:t>
            </w:r>
          </w:p>
        </w:tc>
      </w:tr>
      <w:tr>
        <w:trPr/>
        <w:tc>
          <w:tcPr>
            <w:tcW w:w="4530" w:type="dxa"/>
            <w:tcBorders/>
            <w:vAlign w:val="center"/>
          </w:tcPr>
          <w:p>
            <w:pPr>
              <w:pStyle w:val="ListParagraph"/>
              <w:ind w:hanging="0"/>
              <w:jc w:val="center"/>
              <w:rPr>
                <w:sz w:val="20"/>
                <w:szCs w:val="20"/>
              </w:rPr>
            </w:pPr>
            <w:r>
              <w:rPr>
                <w:sz w:val="20"/>
                <w:szCs w:val="20"/>
              </w:rPr>
              <w:t xml:space="preserve">Total de itens constantes no </w:t>
            </w:r>
            <w:r>
              <w:rPr>
                <w:i/>
                <w:iCs/>
                <w:sz w:val="20"/>
                <w:szCs w:val="20"/>
              </w:rPr>
              <w:t>checklist</w:t>
            </w:r>
          </w:p>
        </w:tc>
        <w:tc>
          <w:tcPr>
            <w:tcW w:w="4530" w:type="dxa"/>
            <w:tcBorders/>
            <w:vAlign w:val="center"/>
          </w:tcPr>
          <w:p>
            <w:pPr>
              <w:pStyle w:val="ListParagraph"/>
              <w:ind w:hanging="0"/>
              <w:jc w:val="center"/>
              <w:rPr>
                <w:sz w:val="20"/>
                <w:szCs w:val="20"/>
              </w:rPr>
            </w:pPr>
            <w:r>
              <w:rPr>
                <w:sz w:val="20"/>
                <w:szCs w:val="20"/>
              </w:rPr>
              <w:t>39</w:t>
            </w:r>
          </w:p>
        </w:tc>
      </w:tr>
    </w:tbl>
    <w:p>
      <w:pPr>
        <w:pStyle w:val="ListParagraph"/>
        <w:spacing w:before="120" w:after="0"/>
        <w:ind w:hanging="0"/>
        <w:contextualSpacing/>
        <w:jc w:val="center"/>
        <w:rPr>
          <w:rFonts w:cs="Arial"/>
          <w:color w:val="000000" w:themeColor="text1"/>
          <w:sz w:val="20"/>
          <w:szCs w:val="20"/>
        </w:rPr>
      </w:pPr>
      <w:r>
        <w:rPr>
          <w:rFonts w:cs="Arial"/>
          <w:color w:val="000000" w:themeColor="text1"/>
          <w:sz w:val="20"/>
          <w:szCs w:val="20"/>
        </w:rPr>
        <w:t>Fonte: Autor próprio (2023).</w:t>
      </w:r>
    </w:p>
    <w:p>
      <w:pPr>
        <w:pStyle w:val="Normal"/>
        <w:rPr>
          <w:i/>
          <w:i/>
          <w:iCs/>
        </w:rPr>
      </w:pPr>
      <w:r>
        <w:rPr>
          <w:i/>
          <w:iCs/>
        </w:rPr>
      </w:r>
    </w:p>
    <w:p>
      <w:pPr>
        <w:pStyle w:val="ListParagraph"/>
        <w:rPr/>
      </w:pPr>
      <w:r>
        <w:rPr/>
        <w:t xml:space="preserve">Através da Equação 1, Equação 2, Equação 3 e com o total de dados apresentados no </w:t>
      </w:r>
      <w:r>
        <w:rPr/>
        <w:fldChar w:fldCharType="begin"/>
      </w:r>
      <w:r>
        <w:rPr/>
        <w:instrText> REF _Ref147068413 \h </w:instrText>
      </w:r>
      <w:r>
        <w:rPr/>
        <w:fldChar w:fldCharType="separate"/>
      </w:r>
      <w:r>
        <w:rPr/>
        <w:t>Quadro 2</w:t>
      </w:r>
      <w:r>
        <w:rPr/>
        <w:fldChar w:fldCharType="end"/>
      </w:r>
      <w:r>
        <w:rPr/>
        <w:t xml:space="preserve">, têm-se a proporcionalidade de cada itens em relação a quantidade total de itens avaliados, conforme apresentado no </w:t>
      </w:r>
      <w:r>
        <w:rPr/>
        <w:fldChar w:fldCharType="begin"/>
      </w:r>
      <w:r>
        <w:rPr/>
        <w:instrText> REF _Ref147071026 \h </w:instrText>
      </w:r>
      <w:r>
        <w:rPr/>
        <w:fldChar w:fldCharType="separate"/>
      </w:r>
      <w:r>
        <w:rPr/>
        <w:t>Quadro 3</w:t>
      </w:r>
      <w:r>
        <w:rPr/>
        <w:fldChar w:fldCharType="end"/>
      </w:r>
      <w:r>
        <w:rPr/>
        <w:t>.</w:t>
      </w:r>
    </w:p>
    <w:p>
      <w:pPr>
        <w:pStyle w:val="Normal"/>
        <w:rPr/>
      </w:pPr>
      <w:r>
        <w:rPr/>
      </w:r>
    </w:p>
    <w:p>
      <w:pPr>
        <w:pStyle w:val="EstiloLegenda"/>
        <w:rPr/>
      </w:pPr>
      <w:bookmarkStart w:id="143" w:name="_Toc153384326"/>
      <w:bookmarkStart w:id="144" w:name="_Ref147071026"/>
      <w:r>
        <w:rPr/>
        <w:t xml:space="preserve">Quadro </w:t>
      </w:r>
      <w:r>
        <w:rPr/>
        <w:fldChar w:fldCharType="begin"/>
      </w:r>
      <w:r>
        <w:rPr/>
        <w:instrText> SEQ Quadro \* ARABIC </w:instrText>
      </w:r>
      <w:r>
        <w:rPr/>
        <w:fldChar w:fldCharType="separate"/>
      </w:r>
      <w:r>
        <w:rPr/>
        <w:t>3</w:t>
      </w:r>
      <w:r>
        <w:rPr/>
        <w:fldChar w:fldCharType="end"/>
      </w:r>
      <w:bookmarkEnd w:id="144"/>
      <w:r>
        <w:rPr/>
        <w:t xml:space="preserve"> - Proporcionalidade dos itens - Obra A.</w:t>
      </w:r>
      <w:bookmarkEnd w:id="143"/>
    </w:p>
    <w:tbl>
      <w:tblPr>
        <w:tblStyle w:val="Tabelacomgrade"/>
        <w:tblW w:w="9061" w:type="dxa"/>
        <w:jc w:val="left"/>
        <w:tblInd w:w="0" w:type="dxa"/>
        <w:tblCellMar>
          <w:top w:w="0" w:type="dxa"/>
          <w:left w:w="108" w:type="dxa"/>
          <w:bottom w:w="0" w:type="dxa"/>
          <w:right w:w="108" w:type="dxa"/>
        </w:tblCellMar>
        <w:tblLook w:firstRow="1" w:noVBand="1" w:lastRow="0" w:firstColumn="1" w:lastColumn="0" w:noHBand="0" w:val="04a0"/>
      </w:tblPr>
      <w:tblGrid>
        <w:gridCol w:w="4530"/>
        <w:gridCol w:w="4530"/>
      </w:tblGrid>
      <w:tr>
        <w:trPr/>
        <w:tc>
          <w:tcPr>
            <w:tcW w:w="4530" w:type="dxa"/>
            <w:tcBorders/>
            <w:shd w:color="auto" w:fill="E7E6E6" w:themeFill="background2" w:val="clear"/>
            <w:vAlign w:val="center"/>
          </w:tcPr>
          <w:p>
            <w:pPr>
              <w:pStyle w:val="ListParagraph"/>
              <w:ind w:hanging="0"/>
              <w:jc w:val="center"/>
              <w:rPr>
                <w:b/>
                <w:b/>
                <w:bCs/>
                <w:color w:val="000000" w:themeColor="text1"/>
                <w:sz w:val="20"/>
                <w:szCs w:val="20"/>
              </w:rPr>
            </w:pPr>
            <w:r>
              <w:rPr>
                <w:b/>
                <w:bCs/>
                <w:color w:val="000000" w:themeColor="text1"/>
                <w:sz w:val="20"/>
                <w:szCs w:val="20"/>
              </w:rPr>
              <w:t xml:space="preserve">Descrição </w:t>
            </w:r>
          </w:p>
        </w:tc>
        <w:tc>
          <w:tcPr>
            <w:tcW w:w="4530" w:type="dxa"/>
            <w:tcBorders/>
            <w:shd w:color="auto" w:fill="E7E6E6" w:themeFill="background2" w:val="clear"/>
            <w:vAlign w:val="center"/>
          </w:tcPr>
          <w:p>
            <w:pPr>
              <w:pStyle w:val="ListParagraph"/>
              <w:ind w:hanging="0"/>
              <w:jc w:val="center"/>
              <w:rPr>
                <w:b/>
                <w:b/>
                <w:bCs/>
                <w:color w:val="000000" w:themeColor="text1"/>
                <w:sz w:val="20"/>
                <w:szCs w:val="20"/>
              </w:rPr>
            </w:pPr>
            <w:r>
              <w:rPr>
                <w:b/>
                <w:bCs/>
                <w:color w:val="000000" w:themeColor="text1"/>
                <w:sz w:val="20"/>
                <w:szCs w:val="20"/>
              </w:rPr>
              <w:t>Proporcionalidade (%)</w:t>
            </w:r>
          </w:p>
        </w:tc>
      </w:tr>
      <w:tr>
        <w:trPr/>
        <w:tc>
          <w:tcPr>
            <w:tcW w:w="4530" w:type="dxa"/>
            <w:tcBorders/>
            <w:vAlign w:val="center"/>
          </w:tcPr>
          <w:p>
            <w:pPr>
              <w:pStyle w:val="ListParagraph"/>
              <w:ind w:hanging="0"/>
              <w:jc w:val="center"/>
              <w:rPr>
                <w:sz w:val="20"/>
                <w:szCs w:val="20"/>
              </w:rPr>
            </w:pPr>
            <w:r>
              <w:rPr>
                <w:sz w:val="20"/>
                <w:szCs w:val="20"/>
              </w:rPr>
              <w:t>Itens conformes</w:t>
            </w:r>
          </w:p>
        </w:tc>
        <w:tc>
          <w:tcPr>
            <w:tcW w:w="4530" w:type="dxa"/>
            <w:tcBorders/>
            <w:vAlign w:val="center"/>
          </w:tcPr>
          <w:p>
            <w:pPr>
              <w:pStyle w:val="ListParagraph"/>
              <w:ind w:hanging="0"/>
              <w:jc w:val="center"/>
              <w:rPr>
                <w:sz w:val="20"/>
                <w:szCs w:val="20"/>
              </w:rPr>
            </w:pPr>
            <w:r>
              <w:rPr>
                <w:sz w:val="20"/>
                <w:szCs w:val="20"/>
              </w:rPr>
              <w:t>79%</w:t>
            </w:r>
          </w:p>
        </w:tc>
      </w:tr>
      <w:tr>
        <w:trPr/>
        <w:tc>
          <w:tcPr>
            <w:tcW w:w="4530" w:type="dxa"/>
            <w:tcBorders/>
            <w:vAlign w:val="center"/>
          </w:tcPr>
          <w:p>
            <w:pPr>
              <w:pStyle w:val="ListParagraph"/>
              <w:ind w:hanging="0"/>
              <w:jc w:val="center"/>
              <w:rPr>
                <w:sz w:val="20"/>
                <w:szCs w:val="20"/>
              </w:rPr>
            </w:pPr>
            <w:r>
              <w:rPr>
                <w:sz w:val="20"/>
                <w:szCs w:val="20"/>
              </w:rPr>
              <w:t>Itens não conformes</w:t>
            </w:r>
          </w:p>
        </w:tc>
        <w:tc>
          <w:tcPr>
            <w:tcW w:w="4530" w:type="dxa"/>
            <w:tcBorders/>
            <w:vAlign w:val="center"/>
          </w:tcPr>
          <w:p>
            <w:pPr>
              <w:pStyle w:val="ListParagraph"/>
              <w:ind w:hanging="0"/>
              <w:jc w:val="center"/>
              <w:rPr>
                <w:sz w:val="20"/>
                <w:szCs w:val="20"/>
              </w:rPr>
            </w:pPr>
            <w:r>
              <w:rPr>
                <w:sz w:val="20"/>
                <w:szCs w:val="20"/>
              </w:rPr>
              <w:t>18%</w:t>
            </w:r>
          </w:p>
        </w:tc>
      </w:tr>
      <w:tr>
        <w:trPr/>
        <w:tc>
          <w:tcPr>
            <w:tcW w:w="4530" w:type="dxa"/>
            <w:tcBorders/>
            <w:vAlign w:val="center"/>
          </w:tcPr>
          <w:p>
            <w:pPr>
              <w:pStyle w:val="ListParagraph"/>
              <w:ind w:hanging="0"/>
              <w:jc w:val="center"/>
              <w:rPr>
                <w:sz w:val="20"/>
                <w:szCs w:val="20"/>
              </w:rPr>
            </w:pPr>
            <w:r>
              <w:rPr>
                <w:sz w:val="20"/>
                <w:szCs w:val="20"/>
              </w:rPr>
              <w:t>Itens parciais</w:t>
            </w:r>
          </w:p>
        </w:tc>
        <w:tc>
          <w:tcPr>
            <w:tcW w:w="4530" w:type="dxa"/>
            <w:tcBorders/>
            <w:vAlign w:val="center"/>
          </w:tcPr>
          <w:p>
            <w:pPr>
              <w:pStyle w:val="ListParagraph"/>
              <w:ind w:hanging="0"/>
              <w:jc w:val="center"/>
              <w:rPr>
                <w:sz w:val="20"/>
                <w:szCs w:val="20"/>
              </w:rPr>
            </w:pPr>
            <w:r>
              <w:rPr>
                <w:sz w:val="20"/>
                <w:szCs w:val="20"/>
              </w:rPr>
              <w:t>3%</w:t>
            </w:r>
          </w:p>
        </w:tc>
      </w:tr>
    </w:tbl>
    <w:p>
      <w:pPr>
        <w:pStyle w:val="ListParagraph"/>
        <w:spacing w:before="120" w:after="0"/>
        <w:ind w:hanging="0"/>
        <w:contextualSpacing/>
        <w:jc w:val="center"/>
        <w:rPr>
          <w:rFonts w:cs="Arial"/>
          <w:color w:val="000000" w:themeColor="text1"/>
          <w:sz w:val="20"/>
          <w:szCs w:val="20"/>
        </w:rPr>
      </w:pPr>
      <w:r>
        <w:rPr>
          <w:rFonts w:cs="Arial"/>
          <w:color w:val="000000" w:themeColor="text1"/>
          <w:sz w:val="20"/>
          <w:szCs w:val="20"/>
        </w:rPr>
        <w:t>Fonte: Autor próprio (2023).</w:t>
      </w:r>
    </w:p>
    <w:p>
      <w:pPr>
        <w:pStyle w:val="ListParagraph"/>
        <w:spacing w:before="120" w:after="0"/>
        <w:ind w:hanging="0"/>
        <w:contextualSpacing/>
        <w:jc w:val="center"/>
        <w:rPr>
          <w:rFonts w:cs="Arial"/>
          <w:color w:val="000000" w:themeColor="text1"/>
          <w:sz w:val="20"/>
          <w:szCs w:val="20"/>
        </w:rPr>
      </w:pPr>
      <w:r>
        <w:rPr>
          <w:rFonts w:cs="Arial"/>
          <w:color w:val="000000" w:themeColor="text1"/>
          <w:sz w:val="20"/>
          <w:szCs w:val="20"/>
        </w:rPr>
      </w:r>
    </w:p>
    <w:p>
      <w:pPr>
        <w:pStyle w:val="ListParagraph"/>
        <w:rPr/>
      </w:pPr>
      <w:r>
        <w:rPr/>
        <w:t>Na Figura 31, apresenta-se uma representação gráfica dos itens avaliados no canteiro de obras, referentes à Obra A. Destaca-se que a Obra A apresentou mais de 20% de não conformidades em relação aos itens avaliados. Durante a fase da obra, é fundamental dedicar atenção especial à resolução dessas não conformidades. Para isso, medidas como a instrução dos trabalhadores sobre os riscos associados à falta de uso de Equipamentos de Proteção Individual (EPI) e a devida sinalização das saídas de emergência podem contribuir significativamente para a redução da porcentagem de itens não conformes.</w:t>
      </w:r>
    </w:p>
    <w:p>
      <w:pPr>
        <w:pStyle w:val="ListParagraph"/>
        <w:rPr/>
      </w:pPr>
      <w:r>
        <w:rPr/>
        <w:t>De acordo com Urias (2020) e com Domingues e Villarinho (2022) é essencial que se realizem treinamentos com os trabalhadores em canteiros de obras, uma vez que a falta de conhecimento contribui para a ocorrência de atos inseguros. No entanto, na obra analisada, apesar de existir treinamento, observou-se uma não conformidade (</w:t>
      </w:r>
      <w:r>
        <w:rPr/>
        <w:fldChar w:fldCharType="begin"/>
      </w:r>
      <w:r>
        <w:rPr/>
        <w:instrText> REF _Ref151317820 \h </w:instrText>
      </w:r>
      <w:r>
        <w:rPr/>
        <w:fldChar w:fldCharType="separate"/>
      </w:r>
      <w:r>
        <w:rPr/>
        <w:t>Figura 29</w:t>
      </w:r>
      <w:r>
        <w:rPr/>
        <w:fldChar w:fldCharType="end"/>
      </w:r>
      <w:r>
        <w:rPr/>
        <w:t>), o que evidencia que, mesmo quando os colaboradores possuem treinamento, é essencial sempre garantir e exigir que suas atividades sejam executadas de forma segura, a fim de prevenir qualquer tipo de acidente.</w:t>
      </w:r>
    </w:p>
    <w:p>
      <w:pPr>
        <w:pStyle w:val="Normal"/>
        <w:rPr/>
      </w:pPr>
      <w:r>
        <w:rPr/>
      </w:r>
    </w:p>
    <w:p>
      <w:pPr>
        <w:pStyle w:val="EstiloLegenda"/>
        <w:rPr/>
      </w:pPr>
      <w:bookmarkStart w:id="145" w:name="_Toc153611313"/>
      <w:bookmarkStart w:id="146" w:name="_Ref147071431"/>
      <w:r>
        <w:rPr/>
        <w:t xml:space="preserve">Figura </w:t>
      </w:r>
      <w:r>
        <w:rPr/>
        <w:fldChar w:fldCharType="begin"/>
      </w:r>
      <w:r>
        <w:rPr/>
        <w:instrText> SEQ Figura \* ARABIC </w:instrText>
      </w:r>
      <w:r>
        <w:rPr/>
        <w:fldChar w:fldCharType="separate"/>
      </w:r>
      <w:r>
        <w:rPr/>
        <w:t>30</w:t>
      </w:r>
      <w:r>
        <w:rPr/>
        <w:fldChar w:fldCharType="end"/>
      </w:r>
      <w:bookmarkEnd w:id="146"/>
      <w:r>
        <w:rPr/>
        <w:t xml:space="preserve"> - Relação dos itens avaliados - Obra A.</w:t>
      </w:r>
      <w:bookmarkEnd w:id="145"/>
    </w:p>
    <w:p>
      <w:pPr>
        <w:pStyle w:val="ListParagraph"/>
        <w:ind w:hanging="0"/>
        <w:jc w:val="center"/>
        <w:rPr/>
      </w:pPr>
      <w:r>
        <w:rPr/>
        <w:drawing>
          <wp:inline distT="0" distB="0" distL="0" distR="0">
            <wp:extent cx="4690745" cy="2819400"/>
            <wp:effectExtent l="0" t="0" r="0" b="0"/>
            <wp:docPr id="41" name="Imagem 119353654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m 1193536542" descr=""/>
                    <pic:cNvPicPr>
                      <a:picLocks noChangeAspect="1" noChangeArrowheads="1"/>
                    </pic:cNvPicPr>
                  </pic:nvPicPr>
                  <pic:blipFill>
                    <a:blip r:embed="rId42"/>
                    <a:stretch>
                      <a:fillRect/>
                    </a:stretch>
                  </pic:blipFill>
                  <pic:spPr bwMode="auto">
                    <a:xfrm>
                      <a:off x="0" y="0"/>
                      <a:ext cx="4690745" cy="2819400"/>
                    </a:xfrm>
                    <a:prstGeom prst="rect">
                      <a:avLst/>
                    </a:prstGeom>
                  </pic:spPr>
                </pic:pic>
              </a:graphicData>
            </a:graphic>
          </wp:inline>
        </w:drawing>
      </w:r>
    </w:p>
    <w:p>
      <w:pPr>
        <w:pStyle w:val="ListParagraph"/>
        <w:ind w:hanging="0"/>
        <w:jc w:val="center"/>
        <w:rPr>
          <w:rFonts w:cs="Arial"/>
          <w:color w:val="000000" w:themeColor="text1"/>
          <w:sz w:val="20"/>
          <w:szCs w:val="20"/>
        </w:rPr>
      </w:pPr>
      <w:r>
        <w:rPr>
          <w:rFonts w:cs="Arial"/>
          <w:color w:val="000000" w:themeColor="text1"/>
          <w:sz w:val="20"/>
          <w:szCs w:val="20"/>
        </w:rPr>
        <w:t>Fonte: Autor próprio (2023).</w:t>
      </w:r>
    </w:p>
    <w:p>
      <w:pPr>
        <w:pStyle w:val="Ttulo3"/>
        <w:rPr/>
      </w:pPr>
      <w:r>
        <w:rPr/>
      </w:r>
    </w:p>
    <w:p>
      <w:pPr>
        <w:pStyle w:val="Ttulo3"/>
        <w:rPr/>
      </w:pPr>
      <w:bookmarkStart w:id="147" w:name="_Toc153611172"/>
      <w:r>
        <w:rPr/>
        <w:t>4.2.2 Obra B</w:t>
      </w:r>
      <w:bookmarkEnd w:id="147"/>
    </w:p>
    <w:p>
      <w:pPr>
        <w:pStyle w:val="ListParagraph"/>
        <w:rPr/>
      </w:pPr>
      <w:r>
        <w:rPr/>
        <w:t xml:space="preserve">A segunda obra analisada, denominada Obra B e com as características já mencionadas anteriormente, no dia da visita contava com um total de 41 funcionários, dos quais 36 eram homens e 5 eram mulheres. </w:t>
      </w:r>
    </w:p>
    <w:p>
      <w:pPr>
        <w:pStyle w:val="ListParagraph"/>
        <w:rPr/>
      </w:pPr>
      <w:r>
        <w:rPr/>
        <w:t xml:space="preserve">A </w:t>
      </w:r>
      <w:r>
        <w:rPr/>
        <w:fldChar w:fldCharType="begin"/>
      </w:r>
      <w:r>
        <w:rPr/>
        <w:instrText> REF _Ref147080299 \h </w:instrText>
      </w:r>
      <w:r>
        <w:rPr/>
        <w:fldChar w:fldCharType="separate"/>
      </w:r>
      <w:r>
        <w:rPr/>
        <w:t>Figura 31</w:t>
      </w:r>
      <w:r>
        <w:rPr/>
        <w:fldChar w:fldCharType="end"/>
      </w:r>
      <w:r>
        <w:rPr/>
        <w:t xml:space="preserve"> apresenta uma visão panorâmica do canteiro de obra, vista a partir da entra da obra e a </w:t>
      </w:r>
      <w:r>
        <w:rPr/>
        <w:fldChar w:fldCharType="begin"/>
      </w:r>
      <w:r>
        <w:rPr/>
        <w:instrText> REF _Ref147080331 \h </w:instrText>
      </w:r>
      <w:r>
        <w:rPr/>
        <w:fldChar w:fldCharType="separate"/>
      </w:r>
      <w:r>
        <w:rPr/>
        <w:t>Figura 32</w:t>
      </w:r>
      <w:r>
        <w:rPr/>
        <w:fldChar w:fldCharType="end"/>
      </w:r>
      <w:r>
        <w:rPr/>
        <w:t xml:space="preserve"> apresenta uma visão panorâmica vista a partir do fundo do canteiro da Obra B. Assim, consegue-se visualizar o canteiro de obra por completo. </w:t>
      </w:r>
    </w:p>
    <w:p>
      <w:pPr>
        <w:pStyle w:val="ListParagraph"/>
        <w:rPr/>
      </w:pPr>
      <w:r>
        <w:rPr/>
        <w:t>A visita à Obra B contou com a presença do engenheiro de segurança do trabalho da empresa e da responsável pela segurança do trabalho na obra. Durante a visita, foi realizada uma avaliação minuciosa para verificar se os serviços estavam sendo executados de acordo com o que determina a NR-18.</w:t>
      </w:r>
    </w:p>
    <w:p>
      <w:pPr>
        <w:pStyle w:val="EstiloLegenda"/>
        <w:rPr/>
      </w:pPr>
      <w:bookmarkStart w:id="148" w:name="_Toc153611314"/>
      <w:bookmarkStart w:id="149" w:name="_Ref147080299"/>
      <w:r>
        <w:rPr/>
        <w:t xml:space="preserve">Figura </w:t>
      </w:r>
      <w:r>
        <w:rPr/>
        <w:fldChar w:fldCharType="begin"/>
      </w:r>
      <w:r>
        <w:rPr/>
        <w:instrText> SEQ Figura \* ARABIC </w:instrText>
      </w:r>
      <w:r>
        <w:rPr/>
        <w:fldChar w:fldCharType="separate"/>
      </w:r>
      <w:r>
        <w:rPr/>
        <w:t>31</w:t>
      </w:r>
      <w:r>
        <w:rPr/>
        <w:fldChar w:fldCharType="end"/>
      </w:r>
      <w:bookmarkEnd w:id="149"/>
      <w:r>
        <w:rPr/>
        <w:t xml:space="preserve"> - Vista panorâmica pela entrada do canteiro - Obra B.</w:t>
      </w:r>
      <w:bookmarkEnd w:id="148"/>
    </w:p>
    <w:p>
      <w:pPr>
        <w:pStyle w:val="ListParagraph"/>
        <w:tabs>
          <w:tab w:val="clear" w:pos="708"/>
          <w:tab w:val="left" w:pos="567" w:leader="none"/>
        </w:tabs>
        <w:ind w:hanging="0"/>
        <w:jc w:val="center"/>
        <w:rPr/>
      </w:pPr>
      <w:r>
        <w:rPr/>
        <w:drawing>
          <wp:inline distT="0" distB="0" distL="0" distR="0">
            <wp:extent cx="4690745" cy="2656205"/>
            <wp:effectExtent l="0" t="0" r="0" b="0"/>
            <wp:docPr id="42" name="Figura1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Figura14" descr=""/>
                    <pic:cNvPicPr>
                      <a:picLocks noChangeAspect="1" noChangeArrowheads="1"/>
                    </pic:cNvPicPr>
                  </pic:nvPicPr>
                  <pic:blipFill>
                    <a:blip r:embed="rId43"/>
                    <a:stretch>
                      <a:fillRect/>
                    </a:stretch>
                  </pic:blipFill>
                  <pic:spPr bwMode="auto">
                    <a:xfrm>
                      <a:off x="0" y="0"/>
                      <a:ext cx="4690745" cy="2656205"/>
                    </a:xfrm>
                    <a:prstGeom prst="rect">
                      <a:avLst/>
                    </a:prstGeom>
                  </pic:spPr>
                </pic:pic>
              </a:graphicData>
            </a:graphic>
          </wp:inline>
        </w:drawing>
      </w:r>
    </w:p>
    <w:p>
      <w:pPr>
        <w:pStyle w:val="ListParagraph"/>
        <w:ind w:hanging="0"/>
        <w:jc w:val="center"/>
        <w:rPr>
          <w:rFonts w:cs="Arial"/>
          <w:color w:val="000000" w:themeColor="text1"/>
          <w:sz w:val="20"/>
          <w:szCs w:val="20"/>
        </w:rPr>
      </w:pPr>
      <w:r>
        <w:rPr>
          <w:rFonts w:cs="Arial"/>
          <w:color w:val="000000" w:themeColor="text1"/>
          <w:sz w:val="20"/>
          <w:szCs w:val="20"/>
        </w:rPr>
        <w:t>Fonte: Autor próprio (2023).</w:t>
      </w:r>
    </w:p>
    <w:p>
      <w:pPr>
        <w:pStyle w:val="EstiloLegenda"/>
        <w:rPr/>
      </w:pPr>
      <w:r>
        <w:rPr/>
      </w:r>
    </w:p>
    <w:p>
      <w:pPr>
        <w:pStyle w:val="EstiloLegenda"/>
        <w:rPr/>
      </w:pPr>
      <w:bookmarkStart w:id="150" w:name="_Toc153611315"/>
      <w:bookmarkStart w:id="151" w:name="_Ref147080331"/>
      <w:r>
        <w:rPr/>
        <w:t xml:space="preserve">Figura </w:t>
      </w:r>
      <w:r>
        <w:rPr/>
        <w:fldChar w:fldCharType="begin"/>
      </w:r>
      <w:r>
        <w:rPr/>
        <w:instrText> SEQ Figura \* ARABIC </w:instrText>
      </w:r>
      <w:r>
        <w:rPr/>
        <w:fldChar w:fldCharType="separate"/>
      </w:r>
      <w:r>
        <w:rPr/>
        <w:t>32</w:t>
      </w:r>
      <w:r>
        <w:rPr/>
        <w:fldChar w:fldCharType="end"/>
      </w:r>
      <w:bookmarkEnd w:id="151"/>
      <w:r>
        <w:rPr/>
        <w:t xml:space="preserve"> - Vista panorâmica pelo fundo do canteiro - Obra B.</w:t>
      </w:r>
      <w:bookmarkEnd w:id="150"/>
    </w:p>
    <w:p>
      <w:pPr>
        <w:pStyle w:val="ListParagraph"/>
        <w:ind w:hanging="0"/>
        <w:jc w:val="center"/>
        <w:rPr/>
      </w:pPr>
      <w:r>
        <w:rPr/>
        <w:drawing>
          <wp:inline distT="0" distB="0" distL="0" distR="0">
            <wp:extent cx="4690745" cy="3354705"/>
            <wp:effectExtent l="0" t="0" r="0" b="0"/>
            <wp:docPr id="43" name="Figura1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Figura15" descr=""/>
                    <pic:cNvPicPr>
                      <a:picLocks noChangeAspect="1" noChangeArrowheads="1"/>
                    </pic:cNvPicPr>
                  </pic:nvPicPr>
                  <pic:blipFill>
                    <a:blip r:embed="rId44"/>
                    <a:stretch>
                      <a:fillRect/>
                    </a:stretch>
                  </pic:blipFill>
                  <pic:spPr bwMode="auto">
                    <a:xfrm>
                      <a:off x="0" y="0"/>
                      <a:ext cx="4690745" cy="3354705"/>
                    </a:xfrm>
                    <a:prstGeom prst="rect">
                      <a:avLst/>
                    </a:prstGeom>
                  </pic:spPr>
                </pic:pic>
              </a:graphicData>
            </a:graphic>
          </wp:inline>
        </w:drawing>
      </w:r>
    </w:p>
    <w:p>
      <w:pPr>
        <w:pStyle w:val="ListParagraph"/>
        <w:ind w:hanging="0"/>
        <w:jc w:val="center"/>
        <w:rPr>
          <w:rFonts w:cs="Arial"/>
          <w:color w:val="000000" w:themeColor="text1"/>
          <w:sz w:val="20"/>
          <w:szCs w:val="20"/>
        </w:rPr>
      </w:pPr>
      <w:r>
        <w:rPr>
          <w:rFonts w:cs="Arial"/>
          <w:color w:val="000000" w:themeColor="text1"/>
          <w:sz w:val="20"/>
          <w:szCs w:val="20"/>
        </w:rPr>
        <w:t>Fonte: Autor próprio (2023).</w:t>
      </w:r>
    </w:p>
    <w:p>
      <w:pPr>
        <w:pStyle w:val="Normal"/>
        <w:rPr/>
      </w:pPr>
      <w:r>
        <w:rPr/>
      </w:r>
    </w:p>
    <w:p>
      <w:pPr>
        <w:pStyle w:val="ListParagraph"/>
        <w:rPr/>
      </w:pPr>
      <w:r>
        <w:rPr/>
        <w:t xml:space="preserve">Conforme estipulado na NR-18, é proibido que trabalhadores adentrem ou permaneçam no canteiro de obras sem a devida proteção, conforme estabelecido por esta norma (Brasil, 2021). Nesse contexto, todas as obras da construtora na qual a Obra B está inserida estão equipadas com um sistema de catracas. Portanto, a entrada nos canteiros de obras só é autorizada após a verificação de toda a documentação de segurança e a confirmação de que o trabalhador está apto para realizar suas atividades laborais. A </w:t>
      </w:r>
      <w:r>
        <w:rPr/>
        <w:fldChar w:fldCharType="begin"/>
      </w:r>
      <w:r>
        <w:rPr/>
        <w:instrText> REF _Ref147171034 \h </w:instrText>
      </w:r>
      <w:r>
        <w:rPr/>
        <w:fldChar w:fldCharType="separate"/>
      </w:r>
      <w:r>
        <w:rPr/>
        <w:t>Figura 33</w:t>
      </w:r>
      <w:r>
        <w:rPr/>
        <w:fldChar w:fldCharType="end"/>
      </w:r>
      <w:r>
        <w:rPr/>
        <w:t xml:space="preserve"> exibe a entrada do canteiro de obras da Obra B, onde é possível observar a presença da catraca de acesso à obra.</w:t>
      </w:r>
    </w:p>
    <w:p>
      <w:pPr>
        <w:pStyle w:val="Normal"/>
        <w:rPr/>
      </w:pPr>
      <w:r>
        <w:rPr/>
      </w:r>
    </w:p>
    <w:p>
      <w:pPr>
        <w:pStyle w:val="EstiloLegenda"/>
        <w:rPr/>
      </w:pPr>
      <w:bookmarkStart w:id="152" w:name="_Toc153611316"/>
      <w:bookmarkStart w:id="153" w:name="_Ref147171034"/>
      <w:r>
        <w:rPr/>
        <w:t xml:space="preserve">Figura </w:t>
      </w:r>
      <w:r>
        <w:rPr/>
        <w:fldChar w:fldCharType="begin"/>
      </w:r>
      <w:r>
        <w:rPr/>
        <w:instrText> SEQ Figura \* ARABIC </w:instrText>
      </w:r>
      <w:r>
        <w:rPr/>
        <w:fldChar w:fldCharType="separate"/>
      </w:r>
      <w:r>
        <w:rPr/>
        <w:t>33</w:t>
      </w:r>
      <w:r>
        <w:rPr/>
        <w:fldChar w:fldCharType="end"/>
      </w:r>
      <w:bookmarkEnd w:id="153"/>
      <w:r>
        <w:rPr/>
        <w:t xml:space="preserve"> - Catraca de acesso para entrar na Obra B.</w:t>
      </w:r>
      <w:bookmarkEnd w:id="152"/>
    </w:p>
    <w:p>
      <w:pPr>
        <w:pStyle w:val="ListParagraph"/>
        <w:ind w:hanging="0"/>
        <w:jc w:val="center"/>
        <w:rPr/>
      </w:pPr>
      <w:r>
        <w:rPr/>
        <w:drawing>
          <wp:inline distT="0" distB="0" distL="0" distR="0">
            <wp:extent cx="4860290" cy="4168140"/>
            <wp:effectExtent l="0" t="0" r="0" b="0"/>
            <wp:docPr id="44" name="Figura1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Figura16" descr=""/>
                    <pic:cNvPicPr>
                      <a:picLocks noChangeAspect="1" noChangeArrowheads="1"/>
                    </pic:cNvPicPr>
                  </pic:nvPicPr>
                  <pic:blipFill>
                    <a:blip r:embed="rId45"/>
                    <a:stretch>
                      <a:fillRect/>
                    </a:stretch>
                  </pic:blipFill>
                  <pic:spPr bwMode="auto">
                    <a:xfrm>
                      <a:off x="0" y="0"/>
                      <a:ext cx="4860290" cy="4168140"/>
                    </a:xfrm>
                    <a:prstGeom prst="rect">
                      <a:avLst/>
                    </a:prstGeom>
                  </pic:spPr>
                </pic:pic>
              </a:graphicData>
            </a:graphic>
          </wp:inline>
        </w:drawing>
      </w:r>
    </w:p>
    <w:p>
      <w:pPr>
        <w:pStyle w:val="ListParagraph"/>
        <w:ind w:hanging="0"/>
        <w:jc w:val="center"/>
        <w:rPr>
          <w:rFonts w:cs="Arial"/>
          <w:color w:val="000000" w:themeColor="text1"/>
          <w:sz w:val="20"/>
          <w:szCs w:val="20"/>
        </w:rPr>
      </w:pPr>
      <w:r>
        <w:rPr>
          <w:rFonts w:cs="Arial"/>
          <w:color w:val="000000" w:themeColor="text1"/>
          <w:sz w:val="20"/>
          <w:szCs w:val="20"/>
        </w:rPr>
        <w:t>Fonte: Autor próprio (2023).</w:t>
      </w:r>
    </w:p>
    <w:p>
      <w:pPr>
        <w:pStyle w:val="ListParagraph"/>
        <w:ind w:hanging="0"/>
        <w:jc w:val="center"/>
        <w:rPr>
          <w:rFonts w:cs="Arial"/>
          <w:color w:val="000000" w:themeColor="text1"/>
          <w:sz w:val="20"/>
          <w:szCs w:val="20"/>
        </w:rPr>
      </w:pPr>
      <w:r>
        <w:rPr>
          <w:rFonts w:cs="Arial"/>
          <w:color w:val="000000" w:themeColor="text1"/>
          <w:sz w:val="20"/>
          <w:szCs w:val="20"/>
        </w:rPr>
      </w:r>
    </w:p>
    <w:p>
      <w:pPr>
        <w:pStyle w:val="ListParagraph"/>
        <w:rPr/>
      </w:pPr>
      <w:r>
        <w:rPr/>
        <w:t xml:space="preserve">Quanto à elaboração do Plano de Gerenciamento de Riscos (PGR), assim como na Obra A, a Obra B mantém o seu documento devidamente atualizado, em consonância com a fase vigente da construção, em conformidade ao que determina e norma. </w:t>
      </w:r>
    </w:p>
    <w:p>
      <w:pPr>
        <w:pStyle w:val="ListParagraph"/>
        <w:rPr/>
      </w:pPr>
      <w:r>
        <w:rPr>
          <w:color w:val="000000" w:themeColor="text1"/>
        </w:rPr>
        <w:t xml:space="preserve">Na </w:t>
      </w:r>
      <w:r>
        <w:rPr>
          <w:color w:val="000000" w:themeColor="text1"/>
        </w:rPr>
        <w:fldChar w:fldCharType="begin"/>
      </w:r>
      <w:r>
        <w:rPr/>
        <w:instrText> REF _Ref147571312 \h </w:instrText>
      </w:r>
      <w:r>
        <w:rPr/>
        <w:fldChar w:fldCharType="separate"/>
      </w:r>
      <w:r>
        <w:rPr/>
        <w:t>Figura 34</w:t>
      </w:r>
      <w:r>
        <w:rPr/>
        <w:fldChar w:fldCharType="end"/>
      </w:r>
      <w:r>
        <w:rPr>
          <w:color w:val="000000" w:themeColor="text1"/>
        </w:rPr>
        <w:t xml:space="preserve"> é apresentado a capa do PGR da Obra B, em que também constam: i) o nome do empreendimento, ii) Cadastro Nacional da Pessoa </w:t>
      </w:r>
      <w:r>
        <w:rPr/>
        <w:t>Jurídica (CNPJ) e iii) o nome da obra. No entanto, a identificação da obra foi apagada pelos motivos mencionados anteriormente. Ademais, ainda é verificado no PGR que este foi elaborado por um engenheiro de segurança do trabalho, de acordo com o que determina a norma (Brasil, 2021).</w:t>
      </w:r>
    </w:p>
    <w:p>
      <w:pPr>
        <w:pStyle w:val="ListParagraph"/>
        <w:rPr/>
      </w:pPr>
      <w:r>
        <w:rPr/>
      </w:r>
    </w:p>
    <w:p>
      <w:pPr>
        <w:pStyle w:val="EstiloLegenda"/>
        <w:jc w:val="both"/>
        <w:rPr/>
      </w:pPr>
      <w:r>
        <w:rPr/>
      </w:r>
    </w:p>
    <w:p>
      <w:pPr>
        <w:pStyle w:val="EstiloLegenda"/>
        <w:jc w:val="both"/>
        <w:rPr/>
      </w:pPr>
      <w:r>
        <w:rPr/>
      </w:r>
    </w:p>
    <w:p>
      <w:pPr>
        <w:pStyle w:val="EstiloLegenda"/>
        <w:rPr/>
      </w:pPr>
      <w:bookmarkStart w:id="154" w:name="_Toc153611317"/>
      <w:bookmarkStart w:id="155" w:name="_Ref147571312"/>
      <w:r>
        <w:rPr/>
        <w:t xml:space="preserve">Figura </w:t>
      </w:r>
      <w:r>
        <w:rPr/>
        <w:fldChar w:fldCharType="begin"/>
      </w:r>
      <w:r>
        <w:rPr/>
        <w:instrText> SEQ Figura \* ARABIC </w:instrText>
      </w:r>
      <w:r>
        <w:rPr/>
        <w:fldChar w:fldCharType="separate"/>
      </w:r>
      <w:r>
        <w:rPr/>
        <w:t>34</w:t>
      </w:r>
      <w:r>
        <w:rPr/>
        <w:fldChar w:fldCharType="end"/>
      </w:r>
      <w:bookmarkEnd w:id="155"/>
      <w:r>
        <w:rPr/>
        <w:t xml:space="preserve"> - Programa de Gerenciamento de Riscos - Obra B</w:t>
      </w:r>
      <w:bookmarkEnd w:id="154"/>
    </w:p>
    <w:p>
      <w:pPr>
        <w:pStyle w:val="ListParagraph"/>
        <w:ind w:hanging="0"/>
        <w:jc w:val="center"/>
        <w:rPr/>
      </w:pPr>
      <w:r>
        <w:rPr/>
        <w:drawing>
          <wp:inline distT="0" distB="0" distL="0" distR="0">
            <wp:extent cx="4860290" cy="5848350"/>
            <wp:effectExtent l="0" t="0" r="0" b="0"/>
            <wp:docPr id="45" name="Imagem 19632836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m 196328365" descr=""/>
                    <pic:cNvPicPr>
                      <a:picLocks noChangeAspect="1" noChangeArrowheads="1"/>
                    </pic:cNvPicPr>
                  </pic:nvPicPr>
                  <pic:blipFill>
                    <a:blip r:embed="rId46"/>
                    <a:srcRect l="0" t="2360" r="0" b="5396"/>
                    <a:stretch>
                      <a:fillRect/>
                    </a:stretch>
                  </pic:blipFill>
                  <pic:spPr bwMode="auto">
                    <a:xfrm>
                      <a:off x="0" y="0"/>
                      <a:ext cx="4860290" cy="5848350"/>
                    </a:xfrm>
                    <a:prstGeom prst="rect">
                      <a:avLst/>
                    </a:prstGeom>
                    <a:ln w="9525">
                      <a:solidFill>
                        <a:srgbClr val="000000"/>
                      </a:solidFill>
                    </a:ln>
                  </pic:spPr>
                </pic:pic>
              </a:graphicData>
            </a:graphic>
          </wp:inline>
        </w:drawing>
      </w:r>
    </w:p>
    <w:p>
      <w:pPr>
        <w:pStyle w:val="ListParagraph"/>
        <w:ind w:hanging="0"/>
        <w:jc w:val="center"/>
        <w:rPr>
          <w:rFonts w:cs="Arial"/>
          <w:color w:val="000000" w:themeColor="text1"/>
          <w:sz w:val="20"/>
          <w:szCs w:val="20"/>
        </w:rPr>
      </w:pPr>
      <w:r>
        <w:rPr>
          <w:rFonts w:cs="Arial"/>
          <w:color w:val="000000" w:themeColor="text1"/>
          <w:sz w:val="20"/>
          <w:szCs w:val="20"/>
        </w:rPr>
        <w:t>Fonte: Autor próprio (2023).</w:t>
      </w:r>
    </w:p>
    <w:p>
      <w:pPr>
        <w:pStyle w:val="ListParagraph"/>
        <w:rPr/>
      </w:pPr>
      <w:r>
        <w:rPr/>
      </w:r>
    </w:p>
    <w:p>
      <w:pPr>
        <w:pStyle w:val="ListParagraph"/>
        <w:rPr/>
      </w:pPr>
      <w:r>
        <w:rPr/>
        <w:t xml:space="preserve">No que diz respeito à área de vivência, a Obra B demonstra um dimensionamento adequado, bem como condições de conforto e higiene satisfatórias. Isso é evidenciado na </w:t>
      </w:r>
      <w:r>
        <w:rPr/>
        <w:fldChar w:fldCharType="begin"/>
      </w:r>
      <w:r>
        <w:rPr/>
        <w:instrText> REF _Ref147174509 \h </w:instrText>
      </w:r>
      <w:r>
        <w:rPr/>
        <w:fldChar w:fldCharType="separate"/>
      </w:r>
      <w:r>
        <w:rPr/>
        <w:t>Figura 35</w:t>
      </w:r>
      <w:r>
        <w:rPr/>
        <w:fldChar w:fldCharType="end"/>
      </w:r>
      <w:r>
        <w:rPr/>
        <w:t>, que representa o refeitório da obra. Nessa imagem, é visível que o espaço está limpo, possui cobertura e iluminação adequada, além de dispor de mesas e bancos em quantidade suficiente para atender à atual demanda de colaboradores.</w:t>
      </w:r>
    </w:p>
    <w:p>
      <w:pPr>
        <w:pStyle w:val="ListParagraph"/>
        <w:rPr/>
      </w:pPr>
      <w:r>
        <w:rPr/>
      </w:r>
    </w:p>
    <w:p>
      <w:pPr>
        <w:pStyle w:val="ListParagraph"/>
        <w:rPr/>
      </w:pPr>
      <w:r>
        <w:rPr/>
      </w:r>
    </w:p>
    <w:p>
      <w:pPr>
        <w:pStyle w:val="Normal"/>
        <w:rPr/>
      </w:pPr>
      <w:r>
        <w:rPr/>
      </w:r>
    </w:p>
    <w:p>
      <w:pPr>
        <w:pStyle w:val="EstiloLegenda"/>
        <w:rPr/>
      </w:pPr>
      <w:bookmarkStart w:id="156" w:name="_Toc153611318"/>
      <w:bookmarkStart w:id="157" w:name="_Ref147174509"/>
      <w:r>
        <w:rPr/>
        <w:t xml:space="preserve">Figura </w:t>
      </w:r>
      <w:r>
        <w:rPr/>
        <w:fldChar w:fldCharType="begin"/>
      </w:r>
      <w:r>
        <w:rPr/>
        <w:instrText> SEQ Figura \* ARABIC </w:instrText>
      </w:r>
      <w:r>
        <w:rPr/>
        <w:fldChar w:fldCharType="separate"/>
      </w:r>
      <w:r>
        <w:rPr/>
        <w:t>35</w:t>
      </w:r>
      <w:r>
        <w:rPr/>
        <w:fldChar w:fldCharType="end"/>
      </w:r>
      <w:bookmarkEnd w:id="157"/>
      <w:r>
        <w:rPr/>
        <w:t xml:space="preserve"> - Refeitório - Obra B.</w:t>
      </w:r>
      <w:bookmarkEnd w:id="156"/>
    </w:p>
    <w:p>
      <w:pPr>
        <w:pStyle w:val="ListParagraph"/>
        <w:ind w:hanging="0"/>
        <w:jc w:val="center"/>
        <w:rPr/>
      </w:pPr>
      <w:r>
        <w:rPr/>
        <w:drawing>
          <wp:inline distT="0" distB="0" distL="0" distR="0">
            <wp:extent cx="4690745" cy="3308350"/>
            <wp:effectExtent l="0" t="0" r="0" b="0"/>
            <wp:docPr id="46" name="Figura1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Figura17" descr=""/>
                    <pic:cNvPicPr>
                      <a:picLocks noChangeAspect="1" noChangeArrowheads="1"/>
                    </pic:cNvPicPr>
                  </pic:nvPicPr>
                  <pic:blipFill>
                    <a:blip r:embed="rId47"/>
                    <a:stretch>
                      <a:fillRect/>
                    </a:stretch>
                  </pic:blipFill>
                  <pic:spPr bwMode="auto">
                    <a:xfrm>
                      <a:off x="0" y="0"/>
                      <a:ext cx="4690745" cy="3308350"/>
                    </a:xfrm>
                    <a:prstGeom prst="rect">
                      <a:avLst/>
                    </a:prstGeom>
                  </pic:spPr>
                </pic:pic>
              </a:graphicData>
            </a:graphic>
          </wp:inline>
        </w:drawing>
      </w:r>
    </w:p>
    <w:p>
      <w:pPr>
        <w:pStyle w:val="ListParagraph"/>
        <w:ind w:hanging="0"/>
        <w:jc w:val="center"/>
        <w:rPr>
          <w:rFonts w:cs="Arial"/>
          <w:color w:val="000000" w:themeColor="text1"/>
          <w:sz w:val="20"/>
          <w:szCs w:val="20"/>
        </w:rPr>
      </w:pPr>
      <w:r>
        <w:rPr>
          <w:rFonts w:cs="Arial"/>
          <w:color w:val="000000" w:themeColor="text1"/>
          <w:sz w:val="20"/>
          <w:szCs w:val="20"/>
        </w:rPr>
        <w:t>Fonte: Autor próprio (2023).</w:t>
      </w:r>
    </w:p>
    <w:p>
      <w:pPr>
        <w:pStyle w:val="ListParagraph"/>
        <w:ind w:hanging="0"/>
        <w:jc w:val="center"/>
        <w:rPr>
          <w:rFonts w:cs="Arial"/>
          <w:color w:val="000000" w:themeColor="text1"/>
          <w:sz w:val="20"/>
          <w:szCs w:val="20"/>
        </w:rPr>
      </w:pPr>
      <w:r>
        <w:rPr>
          <w:rFonts w:cs="Arial"/>
          <w:color w:val="000000" w:themeColor="text1"/>
          <w:sz w:val="20"/>
          <w:szCs w:val="20"/>
        </w:rPr>
      </w:r>
    </w:p>
    <w:p>
      <w:pPr>
        <w:pStyle w:val="ListParagraph"/>
        <w:rPr/>
      </w:pPr>
      <w:r>
        <w:rPr/>
        <w:t xml:space="preserve">A </w:t>
      </w:r>
      <w:r>
        <w:rPr/>
        <w:fldChar w:fldCharType="begin"/>
      </w:r>
      <w:r>
        <w:rPr/>
        <w:instrText> REF _Ref147571532 \h </w:instrText>
      </w:r>
      <w:r>
        <w:rPr/>
        <w:fldChar w:fldCharType="separate"/>
      </w:r>
      <w:r>
        <w:rPr/>
        <w:t>Figura 36</w:t>
      </w:r>
      <w:r>
        <w:rPr/>
        <w:fldChar w:fldCharType="end"/>
      </w:r>
      <w:r>
        <w:rPr/>
        <w:t xml:space="preserve"> apresenta uma visão geral do banheiro, locais onde estão as bacias sanitárias.</w:t>
      </w:r>
    </w:p>
    <w:p>
      <w:pPr>
        <w:pStyle w:val="EstiloLegenda"/>
        <w:jc w:val="both"/>
        <w:rPr/>
      </w:pPr>
      <w:r>
        <w:rPr/>
      </w:r>
    </w:p>
    <w:p>
      <w:pPr>
        <w:pStyle w:val="EstiloLegenda"/>
        <w:rPr/>
      </w:pPr>
      <w:bookmarkStart w:id="158" w:name="_Toc153611319"/>
      <w:bookmarkStart w:id="159" w:name="_Ref147571532"/>
      <w:r>
        <w:rPr/>
        <w:t xml:space="preserve">Figura </w:t>
      </w:r>
      <w:r>
        <w:rPr/>
        <w:fldChar w:fldCharType="begin"/>
      </w:r>
      <w:r>
        <w:rPr/>
        <w:instrText> SEQ Figura \* ARABIC </w:instrText>
      </w:r>
      <w:r>
        <w:rPr/>
        <w:fldChar w:fldCharType="separate"/>
      </w:r>
      <w:r>
        <w:rPr/>
        <w:t>36</w:t>
      </w:r>
      <w:r>
        <w:rPr/>
        <w:fldChar w:fldCharType="end"/>
      </w:r>
      <w:bookmarkEnd w:id="159"/>
      <w:r>
        <w:rPr/>
        <w:t xml:space="preserve"> - Vista geral – sanitários da Obra B.</w:t>
      </w:r>
      <w:bookmarkEnd w:id="158"/>
    </w:p>
    <w:p>
      <w:pPr>
        <w:pStyle w:val="ListParagraph"/>
        <w:ind w:hanging="0"/>
        <w:jc w:val="center"/>
        <w:rPr/>
      </w:pPr>
      <w:r>
        <w:rPr/>
        <w:drawing>
          <wp:inline distT="0" distB="0" distL="0" distR="0">
            <wp:extent cx="4330700" cy="2582545"/>
            <wp:effectExtent l="0" t="0" r="0" b="0"/>
            <wp:docPr id="47" name="Imagem 25480028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agem 254800284" descr=""/>
                    <pic:cNvPicPr>
                      <a:picLocks noChangeAspect="1" noChangeArrowheads="1"/>
                    </pic:cNvPicPr>
                  </pic:nvPicPr>
                  <pic:blipFill>
                    <a:blip r:embed="rId48"/>
                    <a:srcRect l="0" t="4765" r="0" b="15998"/>
                    <a:stretch>
                      <a:fillRect/>
                    </a:stretch>
                  </pic:blipFill>
                  <pic:spPr bwMode="auto">
                    <a:xfrm>
                      <a:off x="0" y="0"/>
                      <a:ext cx="4330700" cy="2582545"/>
                    </a:xfrm>
                    <a:prstGeom prst="rect">
                      <a:avLst/>
                    </a:prstGeom>
                    <a:ln w="9525">
                      <a:solidFill>
                        <a:srgbClr val="000000"/>
                      </a:solidFill>
                    </a:ln>
                  </pic:spPr>
                </pic:pic>
              </a:graphicData>
            </a:graphic>
          </wp:inline>
        </w:drawing>
      </w:r>
    </w:p>
    <w:p>
      <w:pPr>
        <w:pStyle w:val="ListParagraph"/>
        <w:ind w:hanging="0"/>
        <w:jc w:val="center"/>
        <w:rPr>
          <w:rFonts w:cs="Arial"/>
          <w:color w:val="000000" w:themeColor="text1"/>
          <w:sz w:val="20"/>
          <w:szCs w:val="20"/>
        </w:rPr>
      </w:pPr>
      <w:r>
        <w:rPr>
          <w:rFonts w:cs="Arial"/>
          <w:color w:val="000000" w:themeColor="text1"/>
          <w:sz w:val="20"/>
          <w:szCs w:val="20"/>
        </w:rPr>
        <w:t>Fonte: Autor próprio (2023).</w:t>
      </w:r>
    </w:p>
    <w:p>
      <w:pPr>
        <w:pStyle w:val="ListParagraph"/>
        <w:ind w:hanging="0"/>
        <w:jc w:val="center"/>
        <w:rPr>
          <w:rFonts w:cs="Arial"/>
          <w:color w:val="000000" w:themeColor="text1"/>
          <w:sz w:val="20"/>
          <w:szCs w:val="20"/>
        </w:rPr>
      </w:pPr>
      <w:r>
        <w:rPr>
          <w:rFonts w:cs="Arial"/>
          <w:color w:val="000000" w:themeColor="text1"/>
          <w:sz w:val="20"/>
          <w:szCs w:val="20"/>
        </w:rPr>
      </w:r>
    </w:p>
    <w:p>
      <w:pPr>
        <w:pStyle w:val="ListParagraph"/>
        <w:rPr/>
      </w:pPr>
      <w:r>
        <w:rPr/>
        <w:t xml:space="preserve">Na </w:t>
      </w:r>
      <w:r>
        <w:rPr/>
        <w:fldChar w:fldCharType="begin"/>
      </w:r>
      <w:r>
        <w:rPr/>
        <w:instrText> REF _Ref147580003 \h </w:instrText>
      </w:r>
      <w:r>
        <w:rPr/>
        <w:fldChar w:fldCharType="separate"/>
      </w:r>
      <w:r>
        <w:rPr/>
        <w:t>Figura 37</w:t>
      </w:r>
      <w:r>
        <w:rPr/>
        <w:fldChar w:fldCharType="end"/>
      </w:r>
      <w:r>
        <w:rPr/>
        <w:t xml:space="preserve"> é apresentado o modelo da bacia sanitária, em que se verifica que as bacias sanitárias são dotadas de assento com tampo conforme determinado pela NR-18 (Brasil, 2021).</w:t>
      </w:r>
    </w:p>
    <w:p>
      <w:pPr>
        <w:pStyle w:val="EstiloLegenda"/>
        <w:rPr/>
      </w:pPr>
      <w:bookmarkStart w:id="160" w:name="_Toc153611320"/>
      <w:bookmarkStart w:id="161" w:name="_Ref147580003"/>
      <w:r>
        <w:rPr/>
        <w:t xml:space="preserve">Figura </w:t>
      </w:r>
      <w:r>
        <w:rPr/>
        <w:fldChar w:fldCharType="begin"/>
      </w:r>
      <w:r>
        <w:rPr/>
        <w:instrText> SEQ Figura \* ARABIC </w:instrText>
      </w:r>
      <w:r>
        <w:rPr/>
        <w:fldChar w:fldCharType="separate"/>
      </w:r>
      <w:r>
        <w:rPr/>
        <w:t>37</w:t>
      </w:r>
      <w:r>
        <w:rPr/>
        <w:fldChar w:fldCharType="end"/>
      </w:r>
      <w:bookmarkEnd w:id="161"/>
      <w:r>
        <w:rPr/>
        <w:t xml:space="preserve"> - Bacia sanitária com assento com tampa da Obra B.</w:t>
      </w:r>
      <w:bookmarkEnd w:id="160"/>
    </w:p>
    <w:p>
      <w:pPr>
        <w:pStyle w:val="ListParagraph"/>
        <w:ind w:hanging="0"/>
        <w:jc w:val="center"/>
        <w:rPr/>
      </w:pPr>
      <w:r>
        <w:rPr/>
        <w:drawing>
          <wp:inline distT="0" distB="0" distL="0" distR="0">
            <wp:extent cx="4330700" cy="2997200"/>
            <wp:effectExtent l="0" t="0" r="0" b="0"/>
            <wp:docPr id="48" name="Figura1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Figura18" descr=""/>
                    <pic:cNvPicPr>
                      <a:picLocks noChangeAspect="1" noChangeArrowheads="1"/>
                    </pic:cNvPicPr>
                  </pic:nvPicPr>
                  <pic:blipFill>
                    <a:blip r:embed="rId49"/>
                    <a:stretch>
                      <a:fillRect/>
                    </a:stretch>
                  </pic:blipFill>
                  <pic:spPr bwMode="auto">
                    <a:xfrm>
                      <a:off x="0" y="0"/>
                      <a:ext cx="4330700" cy="2997200"/>
                    </a:xfrm>
                    <a:prstGeom prst="rect">
                      <a:avLst/>
                    </a:prstGeom>
                  </pic:spPr>
                </pic:pic>
              </a:graphicData>
            </a:graphic>
          </wp:inline>
        </w:drawing>
      </w:r>
    </w:p>
    <w:p>
      <w:pPr>
        <w:pStyle w:val="ListParagraph"/>
        <w:ind w:hanging="0"/>
        <w:jc w:val="center"/>
        <w:rPr>
          <w:rFonts w:cs="Arial"/>
          <w:color w:val="000000" w:themeColor="text1"/>
          <w:sz w:val="20"/>
          <w:szCs w:val="20"/>
        </w:rPr>
      </w:pPr>
      <w:r>
        <w:rPr>
          <w:rFonts w:cs="Arial"/>
          <w:color w:val="000000" w:themeColor="text1"/>
          <w:sz w:val="20"/>
          <w:szCs w:val="20"/>
        </w:rPr>
        <w:t>Fonte: Autor próprio (2023).</w:t>
      </w:r>
    </w:p>
    <w:p>
      <w:pPr>
        <w:pStyle w:val="ListParagraph"/>
        <w:ind w:hanging="0"/>
        <w:rPr>
          <w:rFonts w:cs="Arial"/>
          <w:color w:val="000000" w:themeColor="text1"/>
          <w:sz w:val="20"/>
          <w:szCs w:val="20"/>
        </w:rPr>
      </w:pPr>
      <w:r>
        <w:rPr>
          <w:rFonts w:cs="Arial"/>
          <w:color w:val="000000" w:themeColor="text1"/>
          <w:sz w:val="20"/>
          <w:szCs w:val="20"/>
        </w:rPr>
      </w:r>
    </w:p>
    <w:p>
      <w:pPr>
        <w:pStyle w:val="ListParagraph"/>
        <w:rPr/>
      </w:pPr>
      <w:r>
        <w:rPr/>
        <w:t xml:space="preserve">A </w:t>
      </w:r>
      <w:r>
        <w:rPr/>
        <w:fldChar w:fldCharType="begin"/>
      </w:r>
      <w:r>
        <w:rPr/>
        <w:instrText> REF _Ref147580537 \h </w:instrText>
      </w:r>
      <w:r>
        <w:rPr/>
        <w:fldChar w:fldCharType="separate"/>
      </w:r>
      <w:r>
        <w:rPr/>
        <w:t>Figura 38</w:t>
      </w:r>
      <w:r>
        <w:rPr/>
        <w:fldChar w:fldCharType="end"/>
      </w:r>
      <w:r>
        <w:rPr/>
        <w:t xml:space="preserve"> apresenta uma vista geral dos locais dos chuveiros elétricos.</w:t>
      </w:r>
    </w:p>
    <w:p>
      <w:pPr>
        <w:pStyle w:val="Normal"/>
        <w:rPr>
          <w:rFonts w:cs="Arial"/>
          <w:color w:val="000000" w:themeColor="text1"/>
          <w:sz w:val="20"/>
          <w:szCs w:val="20"/>
        </w:rPr>
      </w:pPr>
      <w:r>
        <w:rPr>
          <w:rFonts w:cs="Arial"/>
          <w:color w:val="000000" w:themeColor="text1"/>
          <w:sz w:val="20"/>
          <w:szCs w:val="20"/>
        </w:rPr>
      </w:r>
    </w:p>
    <w:p>
      <w:pPr>
        <w:pStyle w:val="EstiloLegenda"/>
        <w:rPr/>
      </w:pPr>
      <w:bookmarkStart w:id="162" w:name="_Toc153611321"/>
      <w:bookmarkStart w:id="163" w:name="_Ref147580537"/>
      <w:r>
        <w:rPr/>
        <w:t xml:space="preserve">Figura </w:t>
      </w:r>
      <w:r>
        <w:rPr/>
        <w:fldChar w:fldCharType="begin"/>
      </w:r>
      <w:r>
        <w:rPr/>
        <w:instrText> SEQ Figura \* ARABIC </w:instrText>
      </w:r>
      <w:r>
        <w:rPr/>
        <w:fldChar w:fldCharType="separate"/>
      </w:r>
      <w:r>
        <w:rPr/>
        <w:t>38</w:t>
      </w:r>
      <w:r>
        <w:rPr/>
        <w:fldChar w:fldCharType="end"/>
      </w:r>
      <w:bookmarkEnd w:id="163"/>
      <w:r>
        <w:rPr/>
        <w:t xml:space="preserve"> - Vista geral dos chuveiros.</w:t>
      </w:r>
      <w:bookmarkEnd w:id="162"/>
    </w:p>
    <w:p>
      <w:pPr>
        <w:pStyle w:val="ListParagraph"/>
        <w:ind w:hanging="0"/>
        <w:jc w:val="center"/>
        <w:rPr>
          <w:rFonts w:cs="Arial"/>
          <w:color w:val="000000" w:themeColor="text1"/>
          <w:sz w:val="20"/>
          <w:szCs w:val="20"/>
        </w:rPr>
      </w:pPr>
      <w:r>
        <w:rPr/>
        <w:drawing>
          <wp:inline distT="0" distB="0" distL="0" distR="0">
            <wp:extent cx="4330700" cy="2459355"/>
            <wp:effectExtent l="0" t="0" r="0" b="0"/>
            <wp:docPr id="49" name="Figura1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Figura19" descr=""/>
                    <pic:cNvPicPr>
                      <a:picLocks noChangeAspect="1" noChangeArrowheads="1"/>
                    </pic:cNvPicPr>
                  </pic:nvPicPr>
                  <pic:blipFill>
                    <a:blip r:embed="rId50"/>
                    <a:stretch>
                      <a:fillRect/>
                    </a:stretch>
                  </pic:blipFill>
                  <pic:spPr bwMode="auto">
                    <a:xfrm>
                      <a:off x="0" y="0"/>
                      <a:ext cx="4330700" cy="2459355"/>
                    </a:xfrm>
                    <a:prstGeom prst="rect">
                      <a:avLst/>
                    </a:prstGeom>
                  </pic:spPr>
                </pic:pic>
              </a:graphicData>
            </a:graphic>
          </wp:inline>
        </w:drawing>
      </w:r>
    </w:p>
    <w:p>
      <w:pPr>
        <w:pStyle w:val="ListParagraph"/>
        <w:ind w:hanging="0"/>
        <w:jc w:val="center"/>
        <w:rPr>
          <w:rFonts w:cs="Arial"/>
          <w:color w:val="000000" w:themeColor="text1"/>
          <w:sz w:val="20"/>
          <w:szCs w:val="20"/>
        </w:rPr>
      </w:pPr>
      <w:r>
        <w:rPr>
          <w:rFonts w:cs="Arial"/>
          <w:color w:val="000000" w:themeColor="text1"/>
          <w:sz w:val="20"/>
          <w:szCs w:val="20"/>
        </w:rPr>
        <w:t>Fonte: Autor próprio (2023).</w:t>
      </w:r>
    </w:p>
    <w:p>
      <w:pPr>
        <w:pStyle w:val="ListParagraph"/>
        <w:ind w:hanging="0"/>
        <w:jc w:val="center"/>
        <w:rPr>
          <w:rFonts w:cs="Arial"/>
          <w:color w:val="000000" w:themeColor="text1"/>
          <w:sz w:val="20"/>
          <w:szCs w:val="20"/>
        </w:rPr>
      </w:pPr>
      <w:r>
        <w:rPr>
          <w:rFonts w:cs="Arial"/>
          <w:color w:val="000000" w:themeColor="text1"/>
          <w:sz w:val="20"/>
          <w:szCs w:val="20"/>
        </w:rPr>
      </w:r>
    </w:p>
    <w:p>
      <w:pPr>
        <w:pStyle w:val="ListParagraph"/>
        <w:rPr/>
      </w:pPr>
      <w:r>
        <w:rPr/>
        <w:t xml:space="preserve">Referente aos locais com instalações sanitárias, a Obra B atende satisfatoriamente ao dimensionamento de acordo com o que determina a NR-18 em relação ao quantitativo de trabalhadores. Em relação a quantidade de chuveiros, a obra em questão atende ao dimensionamento adequado (Brasil,2021). Na </w:t>
      </w:r>
      <w:r>
        <w:rPr/>
        <w:fldChar w:fldCharType="begin"/>
      </w:r>
      <w:r>
        <w:rPr/>
        <w:instrText> REF _Ref148013654 \h </w:instrText>
      </w:r>
      <w:r>
        <w:rPr/>
        <w:fldChar w:fldCharType="separate"/>
      </w:r>
      <w:r>
        <w:rPr/>
        <w:t>Figura 39</w:t>
      </w:r>
      <w:r>
        <w:rPr/>
        <w:fldChar w:fldCharType="end"/>
      </w:r>
      <w:r>
        <w:rPr/>
        <w:t xml:space="preserve"> apresenta-se o modelo dos chuveiros elétricos instalados e disponíveis para os colaboradores. </w:t>
      </w:r>
    </w:p>
    <w:p>
      <w:pPr>
        <w:pStyle w:val="EstiloLegenda"/>
        <w:rPr/>
      </w:pPr>
      <w:bookmarkStart w:id="164" w:name="_Toc153611322"/>
      <w:bookmarkStart w:id="165" w:name="_Ref148013654"/>
      <w:r>
        <w:rPr/>
        <w:t xml:space="preserve">Figura </w:t>
      </w:r>
      <w:r>
        <w:rPr/>
        <w:fldChar w:fldCharType="begin"/>
      </w:r>
      <w:r>
        <w:rPr/>
        <w:instrText> SEQ Figura \* ARABIC </w:instrText>
      </w:r>
      <w:r>
        <w:rPr/>
        <w:fldChar w:fldCharType="separate"/>
      </w:r>
      <w:r>
        <w:rPr/>
        <w:t>39</w:t>
      </w:r>
      <w:r>
        <w:rPr/>
        <w:fldChar w:fldCharType="end"/>
      </w:r>
      <w:bookmarkEnd w:id="165"/>
      <w:r>
        <w:rPr/>
        <w:t xml:space="preserve"> - Chuveiro elétrico - Obra B.</w:t>
      </w:r>
      <w:bookmarkEnd w:id="164"/>
    </w:p>
    <w:p>
      <w:pPr>
        <w:pStyle w:val="ListParagraph"/>
        <w:tabs>
          <w:tab w:val="clear" w:pos="708"/>
          <w:tab w:val="left" w:pos="851" w:leader="none"/>
        </w:tabs>
        <w:ind w:hanging="0"/>
        <w:jc w:val="center"/>
        <w:rPr/>
      </w:pPr>
      <w:r>
        <w:rPr/>
        <w:drawing>
          <wp:inline distT="0" distB="0" distL="0" distR="0">
            <wp:extent cx="4330700" cy="2555875"/>
            <wp:effectExtent l="0" t="0" r="0" b="0"/>
            <wp:docPr id="50" name="Figura2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Figura20" descr=""/>
                    <pic:cNvPicPr>
                      <a:picLocks noChangeAspect="1" noChangeArrowheads="1"/>
                    </pic:cNvPicPr>
                  </pic:nvPicPr>
                  <pic:blipFill>
                    <a:blip r:embed="rId51"/>
                    <a:stretch>
                      <a:fillRect/>
                    </a:stretch>
                  </pic:blipFill>
                  <pic:spPr bwMode="auto">
                    <a:xfrm>
                      <a:off x="0" y="0"/>
                      <a:ext cx="4330700" cy="2555875"/>
                    </a:xfrm>
                    <a:prstGeom prst="rect">
                      <a:avLst/>
                    </a:prstGeom>
                  </pic:spPr>
                </pic:pic>
              </a:graphicData>
            </a:graphic>
          </wp:inline>
        </w:drawing>
      </w:r>
    </w:p>
    <w:p>
      <w:pPr>
        <w:pStyle w:val="ListParagraph"/>
        <w:ind w:hanging="0"/>
        <w:jc w:val="center"/>
        <w:rPr>
          <w:rFonts w:cs="Arial"/>
          <w:color w:val="000000" w:themeColor="text1"/>
          <w:sz w:val="20"/>
          <w:szCs w:val="20"/>
        </w:rPr>
      </w:pPr>
      <w:r>
        <w:rPr>
          <w:rFonts w:cs="Arial"/>
          <w:color w:val="000000" w:themeColor="text1"/>
          <w:sz w:val="20"/>
          <w:szCs w:val="20"/>
        </w:rPr>
        <w:t>Fonte: Autor próprio (2023).</w:t>
      </w:r>
    </w:p>
    <w:p>
      <w:pPr>
        <w:pStyle w:val="ListParagraph"/>
        <w:ind w:hanging="0"/>
        <w:jc w:val="center"/>
        <w:rPr>
          <w:rFonts w:cs="Arial"/>
          <w:color w:val="000000" w:themeColor="text1"/>
          <w:sz w:val="20"/>
          <w:szCs w:val="20"/>
        </w:rPr>
      </w:pPr>
      <w:r>
        <w:rPr>
          <w:rFonts w:cs="Arial"/>
          <w:color w:val="000000" w:themeColor="text1"/>
          <w:sz w:val="20"/>
          <w:szCs w:val="20"/>
        </w:rPr>
      </w:r>
    </w:p>
    <w:p>
      <w:pPr>
        <w:pStyle w:val="ListParagraph"/>
        <w:rPr/>
      </w:pPr>
      <w:r>
        <w:rPr/>
        <w:t xml:space="preserve">Na </w:t>
      </w:r>
      <w:r>
        <w:rPr/>
        <w:fldChar w:fldCharType="begin"/>
      </w:r>
      <w:r>
        <w:rPr/>
        <w:instrText> REF _Ref147585264 \h </w:instrText>
      </w:r>
      <w:r>
        <w:rPr/>
        <w:fldChar w:fldCharType="separate"/>
      </w:r>
      <w:r>
        <w:rPr/>
        <w:t>Figura 40</w:t>
      </w:r>
      <w:r>
        <w:rPr/>
        <w:fldChar w:fldCharType="end"/>
      </w:r>
      <w:r>
        <w:rPr/>
        <w:t xml:space="preserve"> é mostrado o vestiário da Obra B, é possível perceber que os armários dos colaboradores estão fechados, mantendo seus objetos pessoais guardados e devidamente trancados.</w:t>
      </w:r>
    </w:p>
    <w:p>
      <w:pPr>
        <w:pStyle w:val="Normal"/>
        <w:rPr/>
      </w:pPr>
      <w:r>
        <w:rPr/>
      </w:r>
    </w:p>
    <w:p>
      <w:pPr>
        <w:pStyle w:val="EstiloLegenda"/>
        <w:rPr/>
      </w:pPr>
      <w:bookmarkStart w:id="166" w:name="_Toc153611323"/>
      <w:bookmarkStart w:id="167" w:name="_Ref147585264"/>
      <w:r>
        <w:rPr/>
        <w:t xml:space="preserve">Figura </w:t>
      </w:r>
      <w:r>
        <w:rPr/>
        <w:fldChar w:fldCharType="begin"/>
      </w:r>
      <w:r>
        <w:rPr/>
        <w:instrText> SEQ Figura \* ARABIC </w:instrText>
      </w:r>
      <w:r>
        <w:rPr/>
        <w:fldChar w:fldCharType="separate"/>
      </w:r>
      <w:r>
        <w:rPr/>
        <w:t>40</w:t>
      </w:r>
      <w:r>
        <w:rPr/>
        <w:fldChar w:fldCharType="end"/>
      </w:r>
      <w:bookmarkEnd w:id="167"/>
      <w:r>
        <w:rPr/>
        <w:t xml:space="preserve"> - Vestiário - Obra B</w:t>
      </w:r>
      <w:bookmarkEnd w:id="166"/>
    </w:p>
    <w:p>
      <w:pPr>
        <w:pStyle w:val="ListParagraph"/>
        <w:tabs>
          <w:tab w:val="clear" w:pos="708"/>
          <w:tab w:val="left" w:pos="851" w:leader="none"/>
        </w:tabs>
        <w:ind w:hanging="0"/>
        <w:jc w:val="center"/>
        <w:rPr/>
      </w:pPr>
      <w:r>
        <w:rPr/>
        <w:drawing>
          <wp:inline distT="0" distB="0" distL="0" distR="0">
            <wp:extent cx="4330700" cy="2548255"/>
            <wp:effectExtent l="0" t="0" r="0" b="0"/>
            <wp:docPr id="51" name="Figura2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Figura21" descr=""/>
                    <pic:cNvPicPr>
                      <a:picLocks noChangeAspect="1" noChangeArrowheads="1"/>
                    </pic:cNvPicPr>
                  </pic:nvPicPr>
                  <pic:blipFill>
                    <a:blip r:embed="rId52"/>
                    <a:stretch>
                      <a:fillRect/>
                    </a:stretch>
                  </pic:blipFill>
                  <pic:spPr bwMode="auto">
                    <a:xfrm>
                      <a:off x="0" y="0"/>
                      <a:ext cx="4330700" cy="2548255"/>
                    </a:xfrm>
                    <a:prstGeom prst="rect">
                      <a:avLst/>
                    </a:prstGeom>
                  </pic:spPr>
                </pic:pic>
              </a:graphicData>
            </a:graphic>
          </wp:inline>
        </w:drawing>
      </w:r>
    </w:p>
    <w:p>
      <w:pPr>
        <w:pStyle w:val="ListParagraph"/>
        <w:ind w:hanging="0"/>
        <w:jc w:val="center"/>
        <w:rPr>
          <w:rFonts w:cs="Arial"/>
          <w:color w:val="000000" w:themeColor="text1"/>
          <w:sz w:val="20"/>
          <w:szCs w:val="20"/>
        </w:rPr>
      </w:pPr>
      <w:r>
        <w:rPr>
          <w:rFonts w:cs="Arial"/>
          <w:color w:val="000000" w:themeColor="text1"/>
          <w:sz w:val="20"/>
          <w:szCs w:val="20"/>
        </w:rPr>
        <w:t>Fonte: Autor próprio (2023).</w:t>
      </w:r>
    </w:p>
    <w:p>
      <w:pPr>
        <w:pStyle w:val="ListParagraph"/>
        <w:ind w:hanging="0"/>
        <w:jc w:val="center"/>
        <w:rPr>
          <w:rFonts w:cs="Arial"/>
          <w:color w:val="000000" w:themeColor="text1"/>
          <w:sz w:val="20"/>
          <w:szCs w:val="20"/>
        </w:rPr>
      </w:pPr>
      <w:r>
        <w:rPr>
          <w:rFonts w:cs="Arial"/>
          <w:color w:val="000000" w:themeColor="text1"/>
          <w:sz w:val="20"/>
          <w:szCs w:val="20"/>
        </w:rPr>
      </w:r>
    </w:p>
    <w:p>
      <w:pPr>
        <w:pStyle w:val="ListParagraph"/>
        <w:rPr/>
      </w:pPr>
      <w:r>
        <w:rPr/>
        <w:t xml:space="preserve">Em relação aos quadros de distribuição das instalações elétricas, na </w:t>
      </w:r>
      <w:r>
        <w:rPr/>
        <w:fldChar w:fldCharType="begin"/>
      </w:r>
      <w:r>
        <w:rPr/>
        <w:instrText> REF _Ref147690089 \h </w:instrText>
      </w:r>
      <w:r>
        <w:rPr/>
        <w:fldChar w:fldCharType="separate"/>
      </w:r>
      <w:r>
        <w:rPr/>
        <w:t>Figura 41</w:t>
      </w:r>
      <w:r>
        <w:rPr/>
        <w:fldChar w:fldCharType="end"/>
      </w:r>
      <w:r>
        <w:rPr/>
        <w:t xml:space="preserve"> é apresentado um dos quadros elétricos instalados na Obra B, no qual é possível identificar a sinalização quanto ao risco de choque elétrico. Ademais, na </w:t>
      </w:r>
      <w:r>
        <w:rPr/>
        <w:fldChar w:fldCharType="begin"/>
      </w:r>
      <w:r>
        <w:rPr/>
        <w:instrText> REF _Ref147586722 \h </w:instrText>
      </w:r>
      <w:r>
        <w:rPr/>
        <w:fldChar w:fldCharType="separate"/>
      </w:r>
      <w:r>
        <w:rPr/>
        <w:t>Figura 42</w:t>
      </w:r>
      <w:r>
        <w:rPr/>
        <w:fldChar w:fldCharType="end"/>
      </w:r>
      <w:r>
        <w:rPr/>
        <w:t xml:space="preserve"> é possível verificar a parte interna do quadro de distribuição, em que é observado que o quadro está com seus circuitos identificados. </w:t>
      </w:r>
    </w:p>
    <w:p>
      <w:pPr>
        <w:pStyle w:val="EstiloLegenda"/>
        <w:tabs>
          <w:tab w:val="clear" w:pos="708"/>
          <w:tab w:val="left" w:pos="567" w:leader="none"/>
        </w:tabs>
        <w:rPr/>
      </w:pPr>
      <w:bookmarkStart w:id="168" w:name="_Toc153611324"/>
      <w:bookmarkStart w:id="169" w:name="_Ref147690089"/>
      <w:r>
        <w:rPr/>
        <w:t xml:space="preserve">Figura </w:t>
      </w:r>
      <w:r>
        <w:rPr/>
        <w:fldChar w:fldCharType="begin"/>
      </w:r>
      <w:r>
        <w:rPr/>
        <w:instrText> SEQ Figura \* ARABIC </w:instrText>
      </w:r>
      <w:r>
        <w:rPr/>
        <w:fldChar w:fldCharType="separate"/>
      </w:r>
      <w:r>
        <w:rPr/>
        <w:t>41</w:t>
      </w:r>
      <w:r>
        <w:rPr/>
        <w:fldChar w:fldCharType="end"/>
      </w:r>
      <w:bookmarkEnd w:id="169"/>
      <w:r>
        <w:rPr/>
        <w:t xml:space="preserve"> - Quadro de distribuição das instalações elétricas - Obra B.</w:t>
      </w:r>
      <w:bookmarkEnd w:id="168"/>
    </w:p>
    <w:p>
      <w:pPr>
        <w:pStyle w:val="Normal"/>
        <w:jc w:val="center"/>
        <w:rPr/>
      </w:pPr>
      <w:r>
        <w:rPr/>
        <w:drawing>
          <wp:inline distT="0" distB="0" distL="0" distR="0">
            <wp:extent cx="4330700" cy="2731770"/>
            <wp:effectExtent l="0" t="0" r="0" b="0"/>
            <wp:docPr id="52" name="Figura2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Figura22" descr=""/>
                    <pic:cNvPicPr>
                      <a:picLocks noChangeAspect="1" noChangeArrowheads="1"/>
                    </pic:cNvPicPr>
                  </pic:nvPicPr>
                  <pic:blipFill>
                    <a:blip r:embed="rId53"/>
                    <a:stretch>
                      <a:fillRect/>
                    </a:stretch>
                  </pic:blipFill>
                  <pic:spPr bwMode="auto">
                    <a:xfrm>
                      <a:off x="0" y="0"/>
                      <a:ext cx="4330700" cy="2731770"/>
                    </a:xfrm>
                    <a:prstGeom prst="rect">
                      <a:avLst/>
                    </a:prstGeom>
                  </pic:spPr>
                </pic:pic>
              </a:graphicData>
            </a:graphic>
          </wp:inline>
        </w:drawing>
      </w:r>
    </w:p>
    <w:p>
      <w:pPr>
        <w:pStyle w:val="ListParagraph"/>
        <w:tabs>
          <w:tab w:val="clear" w:pos="708"/>
          <w:tab w:val="left" w:pos="567" w:leader="none"/>
        </w:tabs>
        <w:ind w:hanging="0"/>
        <w:jc w:val="center"/>
        <w:rPr>
          <w:rFonts w:cs="Arial"/>
          <w:color w:val="000000" w:themeColor="text1"/>
          <w:sz w:val="20"/>
          <w:szCs w:val="20"/>
        </w:rPr>
      </w:pPr>
      <w:r>
        <w:rPr>
          <w:rFonts w:cs="Arial"/>
          <w:color w:val="000000" w:themeColor="text1"/>
          <w:sz w:val="20"/>
          <w:szCs w:val="20"/>
        </w:rPr>
        <w:t>Fonte: Autor próprio (2023).</w:t>
      </w:r>
    </w:p>
    <w:p>
      <w:pPr>
        <w:pStyle w:val="Normal"/>
        <w:rPr/>
      </w:pPr>
      <w:r>
        <w:rPr/>
      </w:r>
    </w:p>
    <w:p>
      <w:pPr>
        <w:pStyle w:val="EstiloLegenda"/>
        <w:rPr/>
      </w:pPr>
      <w:bookmarkStart w:id="170" w:name="_Toc153611325"/>
      <w:bookmarkStart w:id="171" w:name="_Ref147586722"/>
      <w:r>
        <w:rPr/>
        <w:t xml:space="preserve">Figura </w:t>
      </w:r>
      <w:r>
        <w:rPr/>
        <w:fldChar w:fldCharType="begin"/>
      </w:r>
      <w:r>
        <w:rPr/>
        <w:instrText> SEQ Figura \* ARABIC </w:instrText>
      </w:r>
      <w:r>
        <w:rPr/>
        <w:fldChar w:fldCharType="separate"/>
      </w:r>
      <w:r>
        <w:rPr/>
        <w:t>42</w:t>
      </w:r>
      <w:r>
        <w:rPr/>
        <w:fldChar w:fldCharType="end"/>
      </w:r>
      <w:bookmarkEnd w:id="171"/>
      <w:r>
        <w:rPr/>
        <w:t xml:space="preserve"> - Identificação interna do quadro elétrico – Obra B.</w:t>
      </w:r>
      <w:bookmarkEnd w:id="170"/>
    </w:p>
    <w:p>
      <w:pPr>
        <w:pStyle w:val="ListParagraph"/>
        <w:tabs>
          <w:tab w:val="clear" w:pos="708"/>
          <w:tab w:val="left" w:pos="567" w:leader="none"/>
          <w:tab w:val="left" w:pos="851" w:leader="none"/>
        </w:tabs>
        <w:ind w:hanging="0"/>
        <w:jc w:val="center"/>
        <w:rPr/>
      </w:pPr>
      <w:r>
        <w:rPr/>
        <w:drawing>
          <wp:inline distT="0" distB="0" distL="0" distR="0">
            <wp:extent cx="4330700" cy="2588260"/>
            <wp:effectExtent l="0" t="0" r="0" b="0"/>
            <wp:docPr id="53" name="Figura2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Figura23" descr=""/>
                    <pic:cNvPicPr>
                      <a:picLocks noChangeAspect="1" noChangeArrowheads="1"/>
                    </pic:cNvPicPr>
                  </pic:nvPicPr>
                  <pic:blipFill>
                    <a:blip r:embed="rId54"/>
                    <a:stretch>
                      <a:fillRect/>
                    </a:stretch>
                  </pic:blipFill>
                  <pic:spPr bwMode="auto">
                    <a:xfrm>
                      <a:off x="0" y="0"/>
                      <a:ext cx="4330700" cy="2588260"/>
                    </a:xfrm>
                    <a:prstGeom prst="rect">
                      <a:avLst/>
                    </a:prstGeom>
                  </pic:spPr>
                </pic:pic>
              </a:graphicData>
            </a:graphic>
          </wp:inline>
        </w:drawing>
      </w:r>
    </w:p>
    <w:p>
      <w:pPr>
        <w:pStyle w:val="ListParagraph"/>
        <w:ind w:hanging="0"/>
        <w:jc w:val="center"/>
        <w:rPr>
          <w:rFonts w:cs="Arial"/>
          <w:color w:val="000000" w:themeColor="text1"/>
          <w:sz w:val="20"/>
          <w:szCs w:val="20"/>
        </w:rPr>
      </w:pPr>
      <w:r>
        <w:rPr>
          <w:rFonts w:cs="Arial"/>
          <w:color w:val="000000" w:themeColor="text1"/>
          <w:sz w:val="20"/>
          <w:szCs w:val="20"/>
        </w:rPr>
        <w:t>Fonte: Autor próprio (2023).</w:t>
      </w:r>
    </w:p>
    <w:p>
      <w:pPr>
        <w:pStyle w:val="ListParagraph"/>
        <w:ind w:hanging="0"/>
        <w:jc w:val="center"/>
        <w:rPr>
          <w:rFonts w:cs="Arial"/>
          <w:color w:val="000000" w:themeColor="text1"/>
          <w:sz w:val="20"/>
          <w:szCs w:val="20"/>
        </w:rPr>
      </w:pPr>
      <w:r>
        <w:rPr>
          <w:rFonts w:cs="Arial"/>
          <w:color w:val="000000" w:themeColor="text1"/>
          <w:sz w:val="20"/>
          <w:szCs w:val="20"/>
        </w:rPr>
      </w:r>
    </w:p>
    <w:p>
      <w:pPr>
        <w:pStyle w:val="ListParagraph"/>
        <w:rPr/>
      </w:pPr>
      <w:r>
        <w:rPr/>
        <w:t>Ainda em relação as instalações elétricas temporárias, verifica-se que da mesma forma que a Obra A, a Obra B está em conformidade com o projeto elétrico. Essas instalações são executadas e mantidas de acordo com as especificações do projeto elétrico</w:t>
      </w:r>
      <w:r>
        <w:rPr>
          <w:rFonts w:cs="Segoe UI" w:ascii="Segoe UI" w:hAnsi="Segoe UI"/>
          <w:color w:val="0F0F0F"/>
        </w:rPr>
        <w:t>.</w:t>
      </w:r>
      <w:r>
        <w:rPr/>
        <w:t xml:space="preserve"> Além disso é importante destacar que os serviços estão sendo realizados por eletricistas em conformidade com a NR-10, visando a redução dos riscos associados a acidentes em instalações elétricas (Brasil, 2019).</w:t>
      </w:r>
    </w:p>
    <w:p>
      <w:pPr>
        <w:pStyle w:val="ListParagraph"/>
        <w:rPr/>
      </w:pPr>
      <w:r>
        <w:rPr/>
        <w:t>Constatou-se que o projeto elétrico foi elaborado por um profissional legalmente habilitado, e as instalações elétricas temporárias estão sendo executadas e mantidas de acordo com o projeto elétrico. Nesse contexto, verifica-se que as instalações elétricas possuem aterramento e são regularmente inspecionadas, com medições elétricas periódicas sendo realizadas, estando, assim, em conformidade com a NR-18 (Brasil, 2021).</w:t>
      </w:r>
    </w:p>
    <w:p>
      <w:pPr>
        <w:pStyle w:val="ListParagraph"/>
        <w:rPr/>
      </w:pPr>
      <w:r>
        <w:rPr/>
        <w:t xml:space="preserve">No que diz respeito à escada destinada a vencer desníveis de piso, na Obra B, constatou-se a presença de duas escadas de acesso para a circulação de pessoas. É relevante enfatizar que essas escadas eram confeccionadas em madeira e encontravam-se em ótimas condições de uso, não exibindo quaisquer farpas, saliências ou emendas visíveis. Assim, na </w:t>
      </w:r>
      <w:r>
        <w:rPr/>
        <w:fldChar w:fldCharType="begin"/>
      </w:r>
      <w:r>
        <w:rPr/>
        <w:instrText> REF _Ref147649311 \h </w:instrText>
      </w:r>
      <w:r>
        <w:rPr/>
        <w:fldChar w:fldCharType="separate"/>
      </w:r>
      <w:r>
        <w:rPr/>
        <w:t>Figura 43</w:t>
      </w:r>
      <w:r>
        <w:rPr/>
        <w:fldChar w:fldCharType="end"/>
      </w:r>
      <w:r>
        <w:rPr/>
        <w:t xml:space="preserve"> e </w:t>
      </w:r>
      <w:r>
        <w:rPr/>
        <w:fldChar w:fldCharType="begin"/>
      </w:r>
      <w:r>
        <w:rPr/>
        <w:instrText> REF _Ref147649317 \h </w:instrText>
      </w:r>
      <w:r>
        <w:rPr/>
        <w:fldChar w:fldCharType="separate"/>
      </w:r>
      <w:r>
        <w:rPr/>
        <w:t>Figura 44</w:t>
      </w:r>
      <w:r>
        <w:rPr/>
        <w:fldChar w:fldCharType="end"/>
      </w:r>
      <w:r>
        <w:rPr/>
        <w:t xml:space="preserve"> são apresentadas as escadas de acesso ao canteiro da Obra B.</w:t>
      </w:r>
    </w:p>
    <w:p>
      <w:pPr>
        <w:pStyle w:val="EstiloLegenda"/>
        <w:jc w:val="both"/>
        <w:rPr/>
      </w:pPr>
      <w:r>
        <w:rPr/>
      </w:r>
    </w:p>
    <w:p>
      <w:pPr>
        <w:pStyle w:val="EstiloLegenda"/>
        <w:rPr/>
      </w:pPr>
      <w:bookmarkStart w:id="172" w:name="_Toc153611326"/>
      <w:bookmarkStart w:id="173" w:name="_Ref147649311"/>
      <w:r>
        <w:rPr/>
        <w:t xml:space="preserve">Figura </w:t>
      </w:r>
      <w:r>
        <w:rPr/>
        <w:fldChar w:fldCharType="begin"/>
      </w:r>
      <w:r>
        <w:rPr/>
        <w:instrText> SEQ Figura \* ARABIC </w:instrText>
      </w:r>
      <w:r>
        <w:rPr/>
        <w:fldChar w:fldCharType="separate"/>
      </w:r>
      <w:r>
        <w:rPr/>
        <w:t>43</w:t>
      </w:r>
      <w:r>
        <w:rPr/>
        <w:fldChar w:fldCharType="end"/>
      </w:r>
      <w:bookmarkEnd w:id="173"/>
      <w:r>
        <w:rPr/>
        <w:t xml:space="preserve"> - Escada de acesso ao canteiro da Obra B.</w:t>
      </w:r>
      <w:bookmarkEnd w:id="172"/>
    </w:p>
    <w:p>
      <w:pPr>
        <w:pStyle w:val="ListParagraph"/>
        <w:jc w:val="center"/>
        <w:rPr/>
      </w:pPr>
      <w:r>
        <w:rPr/>
        <w:drawing>
          <wp:inline distT="0" distB="0" distL="0" distR="0">
            <wp:extent cx="4211955" cy="2252345"/>
            <wp:effectExtent l="0" t="0" r="0" b="0"/>
            <wp:docPr id="54" name="Imagem 1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m 12" descr=""/>
                    <pic:cNvPicPr>
                      <a:picLocks noChangeAspect="1" noChangeArrowheads="1"/>
                    </pic:cNvPicPr>
                  </pic:nvPicPr>
                  <pic:blipFill>
                    <a:blip r:embed="rId55"/>
                    <a:stretch>
                      <a:fillRect/>
                    </a:stretch>
                  </pic:blipFill>
                  <pic:spPr bwMode="auto">
                    <a:xfrm>
                      <a:off x="0" y="0"/>
                      <a:ext cx="4211955" cy="2252345"/>
                    </a:xfrm>
                    <a:prstGeom prst="rect">
                      <a:avLst/>
                    </a:prstGeom>
                  </pic:spPr>
                </pic:pic>
              </a:graphicData>
            </a:graphic>
          </wp:inline>
        </w:drawing>
      </w:r>
    </w:p>
    <w:p>
      <w:pPr>
        <w:pStyle w:val="ListParagraph"/>
        <w:ind w:hanging="0"/>
        <w:jc w:val="center"/>
        <w:rPr>
          <w:rFonts w:cs="Arial"/>
          <w:color w:val="000000" w:themeColor="text1"/>
          <w:sz w:val="20"/>
          <w:szCs w:val="20"/>
        </w:rPr>
      </w:pPr>
      <w:r>
        <w:rPr>
          <w:rFonts w:cs="Arial"/>
          <w:color w:val="000000" w:themeColor="text1"/>
          <w:sz w:val="20"/>
          <w:szCs w:val="20"/>
        </w:rPr>
        <w:t>Fonte: Autor próprio (2023).</w:t>
      </w:r>
    </w:p>
    <w:p>
      <w:pPr>
        <w:pStyle w:val="ListParagraph"/>
        <w:ind w:hanging="0"/>
        <w:jc w:val="center"/>
        <w:rPr>
          <w:rFonts w:cs="Arial"/>
          <w:color w:val="000000" w:themeColor="text1"/>
          <w:sz w:val="20"/>
          <w:szCs w:val="20"/>
        </w:rPr>
      </w:pPr>
      <w:r>
        <w:rPr>
          <w:rFonts w:cs="Arial"/>
          <w:color w:val="000000" w:themeColor="text1"/>
          <w:sz w:val="20"/>
          <w:szCs w:val="20"/>
        </w:rPr>
      </w:r>
    </w:p>
    <w:p>
      <w:pPr>
        <w:pStyle w:val="EstiloLegenda"/>
        <w:rPr/>
      </w:pPr>
      <w:bookmarkStart w:id="174" w:name="_Toc153611327"/>
      <w:bookmarkStart w:id="175" w:name="_Ref147649317"/>
      <w:r>
        <w:rPr/>
        <w:t xml:space="preserve">Figura </w:t>
      </w:r>
      <w:r>
        <w:rPr/>
        <w:fldChar w:fldCharType="begin"/>
      </w:r>
      <w:r>
        <w:rPr/>
        <w:instrText> SEQ Figura \* ARABIC </w:instrText>
      </w:r>
      <w:r>
        <w:rPr/>
        <w:fldChar w:fldCharType="separate"/>
      </w:r>
      <w:r>
        <w:rPr/>
        <w:t>44</w:t>
      </w:r>
      <w:r>
        <w:rPr/>
        <w:fldChar w:fldCharType="end"/>
      </w:r>
      <w:bookmarkEnd w:id="175"/>
      <w:r>
        <w:rPr/>
        <w:t xml:space="preserve"> - Escada de acesso ao fundo do canteiro da Obra B.</w:t>
      </w:r>
      <w:bookmarkEnd w:id="174"/>
    </w:p>
    <w:p>
      <w:pPr>
        <w:pStyle w:val="ListParagraph"/>
        <w:jc w:val="center"/>
        <w:rPr/>
      </w:pPr>
      <w:r>
        <w:rPr/>
        <w:drawing>
          <wp:inline distT="0" distB="0" distL="0" distR="0">
            <wp:extent cx="4211955" cy="2684780"/>
            <wp:effectExtent l="0" t="0" r="0" b="0"/>
            <wp:docPr id="55" name="Figura2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Figura24" descr=""/>
                    <pic:cNvPicPr>
                      <a:picLocks noChangeAspect="1" noChangeArrowheads="1"/>
                    </pic:cNvPicPr>
                  </pic:nvPicPr>
                  <pic:blipFill>
                    <a:blip r:embed="rId56"/>
                    <a:stretch>
                      <a:fillRect/>
                    </a:stretch>
                  </pic:blipFill>
                  <pic:spPr bwMode="auto">
                    <a:xfrm>
                      <a:off x="0" y="0"/>
                      <a:ext cx="4211955" cy="2684780"/>
                    </a:xfrm>
                    <a:prstGeom prst="rect">
                      <a:avLst/>
                    </a:prstGeom>
                  </pic:spPr>
                </pic:pic>
              </a:graphicData>
            </a:graphic>
          </wp:inline>
        </w:drawing>
      </w:r>
    </w:p>
    <w:p>
      <w:pPr>
        <w:pStyle w:val="ListParagraph"/>
        <w:ind w:hanging="0"/>
        <w:jc w:val="center"/>
        <w:rPr>
          <w:rFonts w:cs="Arial"/>
          <w:color w:val="000000" w:themeColor="text1"/>
          <w:sz w:val="20"/>
          <w:szCs w:val="20"/>
        </w:rPr>
      </w:pPr>
      <w:r>
        <w:rPr>
          <w:rFonts w:cs="Arial"/>
          <w:color w:val="000000" w:themeColor="text1"/>
          <w:sz w:val="20"/>
          <w:szCs w:val="20"/>
        </w:rPr>
        <w:t>Fonte: Autor próprio (2023).</w:t>
      </w:r>
    </w:p>
    <w:p>
      <w:pPr>
        <w:pStyle w:val="ListParagraph"/>
        <w:rPr/>
      </w:pPr>
      <w:r>
        <w:rPr/>
        <w:t xml:space="preserve">Como medida preventiva contra quedas de altura, a Obra B implementou guarda-corpos em toda a área circundante à obra onde existe o risco de queda de trabalhadores. Nesse contexto, a </w:t>
      </w:r>
      <w:r>
        <w:rPr/>
        <w:fldChar w:fldCharType="begin"/>
      </w:r>
      <w:r>
        <w:rPr/>
        <w:instrText> REF _Ref147684098 \h </w:instrText>
      </w:r>
      <w:r>
        <w:rPr/>
        <w:fldChar w:fldCharType="separate"/>
      </w:r>
      <w:r>
        <w:rPr/>
        <w:t>Figura 45</w:t>
      </w:r>
      <w:r>
        <w:rPr/>
        <w:fldChar w:fldCharType="end"/>
      </w:r>
      <w:r>
        <w:rPr/>
        <w:t xml:space="preserve"> ilustra alguns dos guarda-corpos que foram instalados ao longo do canteiro de obras.</w:t>
      </w:r>
    </w:p>
    <w:p>
      <w:pPr>
        <w:pStyle w:val="EstiloLegenda"/>
        <w:jc w:val="both"/>
        <w:rPr/>
      </w:pPr>
      <w:r>
        <w:rPr/>
      </w:r>
    </w:p>
    <w:p>
      <w:pPr>
        <w:pStyle w:val="EstiloLegenda"/>
        <w:rPr/>
      </w:pPr>
      <w:bookmarkStart w:id="176" w:name="_Toc153611328"/>
      <w:bookmarkStart w:id="177" w:name="_Ref147684098"/>
      <w:r>
        <w:rPr/>
        <w:t xml:space="preserve">Figura </w:t>
      </w:r>
      <w:r>
        <w:rPr/>
        <w:fldChar w:fldCharType="begin"/>
      </w:r>
      <w:r>
        <w:rPr/>
        <w:instrText> SEQ Figura \* ARABIC </w:instrText>
      </w:r>
      <w:r>
        <w:rPr/>
        <w:fldChar w:fldCharType="separate"/>
      </w:r>
      <w:r>
        <w:rPr/>
        <w:t>45</w:t>
      </w:r>
      <w:r>
        <w:rPr/>
        <w:fldChar w:fldCharType="end"/>
      </w:r>
      <w:bookmarkEnd w:id="177"/>
      <w:r>
        <w:rPr/>
        <w:t xml:space="preserve"> - Instalação de guarda-corpo - Obra B.</w:t>
      </w:r>
      <w:bookmarkEnd w:id="176"/>
    </w:p>
    <w:p>
      <w:pPr>
        <w:pStyle w:val="Normal"/>
        <w:tabs>
          <w:tab w:val="clear" w:pos="708"/>
          <w:tab w:val="left" w:pos="567" w:leader="none"/>
        </w:tabs>
        <w:jc w:val="center"/>
        <w:rPr/>
      </w:pPr>
      <w:r>
        <w:rPr/>
        <w:drawing>
          <wp:inline distT="0" distB="0" distL="0" distR="0">
            <wp:extent cx="4330700" cy="2777490"/>
            <wp:effectExtent l="0" t="0" r="0" b="0"/>
            <wp:docPr id="56" name="Imagem 1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m 14" descr=""/>
                    <pic:cNvPicPr>
                      <a:picLocks noChangeAspect="1" noChangeArrowheads="1"/>
                    </pic:cNvPicPr>
                  </pic:nvPicPr>
                  <pic:blipFill>
                    <a:blip r:embed="rId57"/>
                    <a:stretch>
                      <a:fillRect/>
                    </a:stretch>
                  </pic:blipFill>
                  <pic:spPr bwMode="auto">
                    <a:xfrm>
                      <a:off x="0" y="0"/>
                      <a:ext cx="4330700" cy="2777490"/>
                    </a:xfrm>
                    <a:prstGeom prst="rect">
                      <a:avLst/>
                    </a:prstGeom>
                  </pic:spPr>
                </pic:pic>
              </a:graphicData>
            </a:graphic>
          </wp:inline>
        </w:drawing>
      </w:r>
    </w:p>
    <w:p>
      <w:pPr>
        <w:pStyle w:val="ListParagraph"/>
        <w:ind w:hanging="0"/>
        <w:jc w:val="center"/>
        <w:rPr>
          <w:rFonts w:cs="Arial"/>
          <w:color w:val="000000" w:themeColor="text1"/>
          <w:sz w:val="20"/>
          <w:szCs w:val="20"/>
        </w:rPr>
      </w:pPr>
      <w:r>
        <w:rPr>
          <w:rFonts w:cs="Arial"/>
          <w:color w:val="000000" w:themeColor="text1"/>
          <w:sz w:val="20"/>
          <w:szCs w:val="20"/>
        </w:rPr>
        <w:t>Fonte: Autor próprio (2023).</w:t>
      </w:r>
    </w:p>
    <w:p>
      <w:pPr>
        <w:pStyle w:val="ListParagraph"/>
        <w:ind w:hanging="0"/>
        <w:jc w:val="center"/>
        <w:rPr>
          <w:rFonts w:cs="Arial"/>
          <w:color w:val="000000" w:themeColor="text1"/>
          <w:sz w:val="20"/>
          <w:szCs w:val="20"/>
        </w:rPr>
      </w:pPr>
      <w:r>
        <w:rPr>
          <w:rFonts w:cs="Arial"/>
          <w:color w:val="000000" w:themeColor="text1"/>
          <w:sz w:val="20"/>
          <w:szCs w:val="20"/>
        </w:rPr>
      </w:r>
    </w:p>
    <w:p>
      <w:pPr>
        <w:pStyle w:val="ListParagraph"/>
        <w:rPr/>
      </w:pPr>
      <w:r>
        <w:rPr/>
        <w:t xml:space="preserve">A Obra B possui um canteiro de obras devidamente sinalizado com várias placas que alertam para os riscos em diferentes áreas ao longo do canteiro. Na </w:t>
      </w:r>
      <w:r>
        <w:rPr/>
        <w:fldChar w:fldCharType="begin"/>
      </w:r>
      <w:r>
        <w:rPr/>
        <w:instrText> REF _Ref147687048 \h </w:instrText>
      </w:r>
      <w:r>
        <w:rPr/>
        <w:fldChar w:fldCharType="separate"/>
      </w:r>
      <w:r>
        <w:rPr/>
        <w:t>Figura 46</w:t>
      </w:r>
      <w:r>
        <w:rPr/>
        <w:fldChar w:fldCharType="end"/>
      </w:r>
      <w:r>
        <w:rPr/>
        <w:t xml:space="preserve"> apresenta-se um exemplo da sinalização de alerta que destaca a obrigatoriedade do uso de EPI ao adentrar o canteiro de obras. </w:t>
      </w:r>
    </w:p>
    <w:p>
      <w:pPr>
        <w:pStyle w:val="Normal"/>
        <w:rPr/>
      </w:pPr>
      <w:r>
        <w:rPr/>
      </w:r>
    </w:p>
    <w:p>
      <w:pPr>
        <w:pStyle w:val="EstiloLegenda"/>
        <w:rPr/>
      </w:pPr>
      <w:bookmarkStart w:id="178" w:name="_Toc153611329"/>
      <w:bookmarkStart w:id="179" w:name="_Ref147687048"/>
      <w:r>
        <w:rPr/>
        <w:t xml:space="preserve">Figura </w:t>
      </w:r>
      <w:r>
        <w:rPr/>
        <w:fldChar w:fldCharType="begin"/>
      </w:r>
      <w:r>
        <w:rPr/>
        <w:instrText> SEQ Figura \* ARABIC </w:instrText>
      </w:r>
      <w:r>
        <w:rPr/>
        <w:fldChar w:fldCharType="separate"/>
      </w:r>
      <w:r>
        <w:rPr/>
        <w:t>46</w:t>
      </w:r>
      <w:r>
        <w:rPr/>
        <w:fldChar w:fldCharType="end"/>
      </w:r>
      <w:bookmarkEnd w:id="179"/>
      <w:r>
        <w:rPr/>
        <w:t xml:space="preserve"> - Sinalização do canteiro - Obra B.</w:t>
      </w:r>
      <w:bookmarkEnd w:id="178"/>
    </w:p>
    <w:p>
      <w:pPr>
        <w:pStyle w:val="Normal"/>
        <w:jc w:val="center"/>
        <w:rPr/>
      </w:pPr>
      <w:r>
        <w:rPr/>
        <w:drawing>
          <wp:inline distT="0" distB="0" distL="0" distR="0">
            <wp:extent cx="4330700" cy="2688590"/>
            <wp:effectExtent l="0" t="0" r="0" b="0"/>
            <wp:docPr id="57" name="Figura2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Figura25" descr=""/>
                    <pic:cNvPicPr>
                      <a:picLocks noChangeAspect="1" noChangeArrowheads="1"/>
                    </pic:cNvPicPr>
                  </pic:nvPicPr>
                  <pic:blipFill>
                    <a:blip r:embed="rId58"/>
                    <a:stretch>
                      <a:fillRect/>
                    </a:stretch>
                  </pic:blipFill>
                  <pic:spPr bwMode="auto">
                    <a:xfrm>
                      <a:off x="0" y="0"/>
                      <a:ext cx="4330700" cy="2688590"/>
                    </a:xfrm>
                    <a:prstGeom prst="rect">
                      <a:avLst/>
                    </a:prstGeom>
                  </pic:spPr>
                </pic:pic>
              </a:graphicData>
            </a:graphic>
          </wp:inline>
        </w:drawing>
      </w:r>
    </w:p>
    <w:p>
      <w:pPr>
        <w:pStyle w:val="ListParagraph"/>
        <w:ind w:hanging="0"/>
        <w:jc w:val="center"/>
        <w:rPr>
          <w:rFonts w:cs="Arial"/>
          <w:color w:val="000000" w:themeColor="text1"/>
          <w:sz w:val="20"/>
          <w:szCs w:val="20"/>
        </w:rPr>
      </w:pPr>
      <w:r>
        <w:rPr>
          <w:rFonts w:cs="Arial"/>
          <w:color w:val="000000" w:themeColor="text1"/>
          <w:sz w:val="20"/>
          <w:szCs w:val="20"/>
        </w:rPr>
        <w:t>Fonte: Autor próprio (2023).</w:t>
      </w:r>
    </w:p>
    <w:p>
      <w:pPr>
        <w:pStyle w:val="ListParagraph"/>
        <w:rPr/>
      </w:pPr>
      <w:r>
        <w:rPr/>
        <w:t xml:space="preserve">Na </w:t>
      </w:r>
      <w:r>
        <w:rPr/>
        <w:fldChar w:fldCharType="begin"/>
      </w:r>
      <w:r>
        <w:rPr/>
        <w:instrText> REF _Ref147690080 \h </w:instrText>
      </w:r>
      <w:r>
        <w:rPr/>
        <w:fldChar w:fldCharType="separate"/>
      </w:r>
      <w:r>
        <w:rPr/>
        <w:t>Figura 47</w:t>
      </w:r>
      <w:r>
        <w:rPr/>
        <w:fldChar w:fldCharType="end"/>
      </w:r>
      <w:r>
        <w:rPr/>
        <w:t>, é evidenciada a identificação da saída de emergência na Obra B, conforme estipulado pela norma que determina a sinalização das saídas de emergência no canteiro de obras (Brasil, 2021)</w:t>
      </w:r>
    </w:p>
    <w:p>
      <w:pPr>
        <w:pStyle w:val="Normal"/>
        <w:rPr/>
      </w:pPr>
      <w:r>
        <w:rPr/>
      </w:r>
    </w:p>
    <w:p>
      <w:pPr>
        <w:pStyle w:val="EstiloLegenda"/>
        <w:rPr/>
      </w:pPr>
      <w:bookmarkStart w:id="180" w:name="_Toc153611330"/>
      <w:bookmarkStart w:id="181" w:name="_Ref147690080"/>
      <w:r>
        <w:rPr/>
        <w:t xml:space="preserve">Figura </w:t>
      </w:r>
      <w:r>
        <w:rPr/>
        <w:fldChar w:fldCharType="begin"/>
      </w:r>
      <w:r>
        <w:rPr/>
        <w:instrText> SEQ Figura \* ARABIC </w:instrText>
      </w:r>
      <w:r>
        <w:rPr/>
        <w:fldChar w:fldCharType="separate"/>
      </w:r>
      <w:r>
        <w:rPr/>
        <w:t>47</w:t>
      </w:r>
      <w:r>
        <w:rPr/>
        <w:fldChar w:fldCharType="end"/>
      </w:r>
      <w:bookmarkEnd w:id="181"/>
      <w:r>
        <w:rPr/>
        <w:t xml:space="preserve"> - Sinalização saída de emergência - Obra B.</w:t>
      </w:r>
      <w:bookmarkEnd w:id="180"/>
    </w:p>
    <w:p>
      <w:pPr>
        <w:pStyle w:val="Normal"/>
        <w:jc w:val="center"/>
        <w:rPr/>
      </w:pPr>
      <w:r>
        <w:rPr/>
        <w:drawing>
          <wp:inline distT="0" distB="0" distL="0" distR="0">
            <wp:extent cx="5050790" cy="3378200"/>
            <wp:effectExtent l="0" t="0" r="0" b="0"/>
            <wp:docPr id="58" name="Imagem 1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m 16" descr=""/>
                    <pic:cNvPicPr>
                      <a:picLocks noChangeAspect="1" noChangeArrowheads="1"/>
                    </pic:cNvPicPr>
                  </pic:nvPicPr>
                  <pic:blipFill>
                    <a:blip r:embed="rId59"/>
                    <a:stretch>
                      <a:fillRect/>
                    </a:stretch>
                  </pic:blipFill>
                  <pic:spPr bwMode="auto">
                    <a:xfrm>
                      <a:off x="0" y="0"/>
                      <a:ext cx="5050790" cy="3378200"/>
                    </a:xfrm>
                    <a:prstGeom prst="rect">
                      <a:avLst/>
                    </a:prstGeom>
                  </pic:spPr>
                </pic:pic>
              </a:graphicData>
            </a:graphic>
          </wp:inline>
        </w:drawing>
      </w:r>
    </w:p>
    <w:p>
      <w:pPr>
        <w:pStyle w:val="ListParagraph"/>
        <w:ind w:hanging="0"/>
        <w:jc w:val="center"/>
        <w:rPr>
          <w:rFonts w:cs="Arial"/>
          <w:color w:val="000000" w:themeColor="text1"/>
          <w:sz w:val="20"/>
          <w:szCs w:val="20"/>
        </w:rPr>
      </w:pPr>
      <w:r>
        <w:rPr>
          <w:rFonts w:cs="Arial"/>
          <w:color w:val="000000" w:themeColor="text1"/>
          <w:sz w:val="20"/>
          <w:szCs w:val="20"/>
        </w:rPr>
        <w:t>Fonte: Autor próprio (2023).</w:t>
      </w:r>
    </w:p>
    <w:p>
      <w:pPr>
        <w:pStyle w:val="ListParagraph"/>
        <w:ind w:hanging="0"/>
        <w:jc w:val="center"/>
        <w:rPr>
          <w:rFonts w:cs="Arial"/>
          <w:color w:val="000000" w:themeColor="text1"/>
          <w:sz w:val="20"/>
          <w:szCs w:val="20"/>
        </w:rPr>
      </w:pPr>
      <w:r>
        <w:rPr>
          <w:rFonts w:cs="Arial"/>
          <w:color w:val="000000" w:themeColor="text1"/>
          <w:sz w:val="20"/>
          <w:szCs w:val="20"/>
        </w:rPr>
      </w:r>
    </w:p>
    <w:p>
      <w:pPr>
        <w:pStyle w:val="ListParagraph"/>
        <w:rPr/>
      </w:pPr>
      <w:r>
        <w:rPr/>
        <w:t xml:space="preserve">Além disso, a obra apresenta identificação quanto aos riscos existentes tais como o choque elétrico, conforme demonstrado anteriormente na </w:t>
      </w:r>
      <w:r>
        <w:rPr/>
        <w:fldChar w:fldCharType="begin"/>
      </w:r>
      <w:r>
        <w:rPr/>
        <w:instrText> REF _Ref147690089 \h </w:instrText>
      </w:r>
      <w:r>
        <w:rPr/>
        <w:fldChar w:fldCharType="separate"/>
      </w:r>
      <w:r>
        <w:rPr/>
        <w:t>Figura 41</w:t>
      </w:r>
      <w:r>
        <w:rPr/>
        <w:fldChar w:fldCharType="end"/>
      </w:r>
      <w:r>
        <w:rPr/>
        <w:t xml:space="preserve">. Desta forma, evidencia-se que a obra está em conforme aos itens de sinalização de segurança exigidos pela NR-18 (Brasil, 2021). </w:t>
      </w:r>
    </w:p>
    <w:p>
      <w:pPr>
        <w:pStyle w:val="ListParagraph"/>
        <w:rPr/>
      </w:pPr>
      <w:r>
        <w:rPr/>
        <w:t xml:space="preserve">Da mesma forma que ocorreu na Obra A, na Obra B identificou-se uma situação de não conformidade em relação aos condutores elétricos na área de circulação de pessoas. Como ilustrado na </w:t>
      </w:r>
      <w:r>
        <w:rPr/>
        <w:fldChar w:fldCharType="begin"/>
      </w:r>
      <w:r>
        <w:rPr/>
        <w:instrText> REF _Ref147692961 \h </w:instrText>
      </w:r>
      <w:r>
        <w:rPr/>
        <w:fldChar w:fldCharType="separate"/>
      </w:r>
      <w:r>
        <w:rPr/>
        <w:t>Figura 48</w:t>
      </w:r>
      <w:r>
        <w:rPr/>
        <w:fldChar w:fldCharType="end"/>
      </w:r>
      <w:r>
        <w:rPr/>
        <w:t>, é possível observar um colaborador cortando um material, utilizando uma ferramenta manual conectada a uma extensão que, por sua vez, está ligada à rede elétrica. Entretanto, a extensão está posicionada no solo, em uma região de circulação de pessoas, tornando a realização do serviço não conforme de acordo com as diretrizes da NR-18, a qual proíbe a presença de partes vivas expostas que possam ser facilmente acessadas por trabalhadores não autorizados. (Brasil, 2021).</w:t>
      </w:r>
    </w:p>
    <w:p>
      <w:pPr>
        <w:pStyle w:val="Normal"/>
        <w:rPr/>
      </w:pPr>
      <w:r>
        <w:rPr/>
      </w:r>
    </w:p>
    <w:p>
      <w:pPr>
        <w:pStyle w:val="Normal"/>
        <w:rPr/>
      </w:pPr>
      <w:r>
        <w:rPr/>
      </w:r>
    </w:p>
    <w:p>
      <w:pPr>
        <w:pStyle w:val="EstiloLegenda"/>
        <w:jc w:val="both"/>
        <w:rPr/>
      </w:pPr>
      <w:r>
        <w:rPr/>
      </w:r>
    </w:p>
    <w:p>
      <w:pPr>
        <w:pStyle w:val="EstiloLegenda"/>
        <w:rPr/>
      </w:pPr>
      <w:bookmarkStart w:id="182" w:name="_Toc153611331"/>
      <w:bookmarkStart w:id="183" w:name="_Ref147692961"/>
      <w:r>
        <w:rPr/>
        <w:t xml:space="preserve">Figura </w:t>
      </w:r>
      <w:r>
        <w:rPr/>
        <w:fldChar w:fldCharType="begin"/>
      </w:r>
      <w:r>
        <w:rPr/>
        <w:instrText> SEQ Figura \* ARABIC </w:instrText>
      </w:r>
      <w:r>
        <w:rPr/>
        <w:fldChar w:fldCharType="separate"/>
      </w:r>
      <w:r>
        <w:rPr/>
        <w:t>48</w:t>
      </w:r>
      <w:r>
        <w:rPr/>
        <w:fldChar w:fldCharType="end"/>
      </w:r>
      <w:bookmarkEnd w:id="183"/>
      <w:r>
        <w:rPr/>
        <w:t xml:space="preserve"> - Extensão conectada à rede elétrica no chão - Obra B.</w:t>
      </w:r>
      <w:bookmarkEnd w:id="182"/>
    </w:p>
    <w:p>
      <w:pPr>
        <w:pStyle w:val="Normal"/>
        <w:jc w:val="center"/>
        <w:rPr/>
      </w:pPr>
      <w:r>
        <w:rPr/>
        <w:drawing>
          <wp:inline distT="0" distB="0" distL="0" distR="0">
            <wp:extent cx="4330700" cy="2602865"/>
            <wp:effectExtent l="0" t="0" r="0" b="0"/>
            <wp:docPr id="59" name="Imagem 1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Imagem 17" descr=""/>
                    <pic:cNvPicPr>
                      <a:picLocks noChangeAspect="1" noChangeArrowheads="1"/>
                    </pic:cNvPicPr>
                  </pic:nvPicPr>
                  <pic:blipFill>
                    <a:blip r:embed="rId60"/>
                    <a:stretch>
                      <a:fillRect/>
                    </a:stretch>
                  </pic:blipFill>
                  <pic:spPr bwMode="auto">
                    <a:xfrm>
                      <a:off x="0" y="0"/>
                      <a:ext cx="4330700" cy="2602865"/>
                    </a:xfrm>
                    <a:prstGeom prst="rect">
                      <a:avLst/>
                    </a:prstGeom>
                  </pic:spPr>
                </pic:pic>
              </a:graphicData>
            </a:graphic>
          </wp:inline>
        </w:drawing>
      </w:r>
    </w:p>
    <w:p>
      <w:pPr>
        <w:pStyle w:val="ListParagraph"/>
        <w:ind w:hanging="0"/>
        <w:jc w:val="center"/>
        <w:rPr>
          <w:rFonts w:cs="Arial"/>
          <w:color w:val="000000" w:themeColor="text1"/>
          <w:sz w:val="20"/>
          <w:szCs w:val="20"/>
        </w:rPr>
      </w:pPr>
      <w:r>
        <w:rPr>
          <w:rFonts w:cs="Arial"/>
          <w:color w:val="000000" w:themeColor="text1"/>
          <w:sz w:val="20"/>
          <w:szCs w:val="20"/>
        </w:rPr>
        <w:t>Fonte: Autor próprio (2023).</w:t>
      </w:r>
    </w:p>
    <w:p>
      <w:pPr>
        <w:pStyle w:val="ListParagraph"/>
        <w:ind w:hanging="0"/>
        <w:jc w:val="center"/>
        <w:rPr>
          <w:rFonts w:cs="Arial"/>
          <w:color w:val="000000" w:themeColor="text1"/>
          <w:sz w:val="20"/>
          <w:szCs w:val="20"/>
        </w:rPr>
      </w:pPr>
      <w:r>
        <w:rPr>
          <w:rFonts w:cs="Arial"/>
          <w:color w:val="000000" w:themeColor="text1"/>
          <w:sz w:val="20"/>
          <w:szCs w:val="20"/>
        </w:rPr>
      </w:r>
    </w:p>
    <w:p>
      <w:pPr>
        <w:pStyle w:val="ListParagraph"/>
        <w:rPr/>
      </w:pPr>
      <w:r>
        <w:rPr/>
        <w:t xml:space="preserve">Dentro do canteiro de obras da Obra B foram inspecionados outros quadros de distribuição das instalações elétricas, nos quais não foram identificadas quaisquer irregularidades, referente a sinalização quanto ao risco de choque elétrico e também referente a identificação de seus circuitos. </w:t>
      </w:r>
    </w:p>
    <w:p>
      <w:pPr>
        <w:pStyle w:val="ListParagraph"/>
        <w:rPr/>
      </w:pPr>
      <w:r>
        <w:rPr/>
        <w:t xml:space="preserve">Entretanto, no que diz respeito às instalações elétricas, foi identificada outra irregularidade relacionada às partes energizadas expostas. Em um dos quadros elétricos, foi observada a exposição de componentes energizados sem a devida proteção. Isso representa um sério risco de choque elétrico caso algum trabalhador tenha contato com essa área desprotegida. Para ilustrar essa situação, </w:t>
      </w:r>
      <w:r>
        <w:rPr/>
        <w:fldChar w:fldCharType="begin"/>
      </w:r>
      <w:r>
        <w:rPr/>
        <w:instrText> REF _Ref147776570 \h </w:instrText>
      </w:r>
      <w:r>
        <w:rPr/>
        <w:fldChar w:fldCharType="separate"/>
      </w:r>
      <w:r>
        <w:rPr/>
        <w:t>Figura 49</w:t>
      </w:r>
      <w:r>
        <w:rPr/>
        <w:fldChar w:fldCharType="end"/>
      </w:r>
      <w:r>
        <w:rPr/>
        <w:t xml:space="preserve"> apresenta o quadro mencionado.</w:t>
      </w:r>
    </w:p>
    <w:p>
      <w:pPr>
        <w:pStyle w:val="Normal"/>
        <w:rPr/>
      </w:pPr>
      <w:r>
        <w:rPr/>
      </w:r>
    </w:p>
    <w:p>
      <w:pPr>
        <w:pStyle w:val="EstiloLegenda"/>
        <w:rPr/>
      </w:pPr>
      <w:bookmarkStart w:id="184" w:name="_Toc153611332"/>
      <w:bookmarkStart w:id="185" w:name="_Ref147776570"/>
      <w:r>
        <w:rPr/>
        <w:t xml:space="preserve">Figura </w:t>
      </w:r>
      <w:r>
        <w:rPr/>
        <w:fldChar w:fldCharType="begin"/>
      </w:r>
      <w:r>
        <w:rPr/>
        <w:instrText> SEQ Figura \* ARABIC </w:instrText>
      </w:r>
      <w:r>
        <w:rPr/>
        <w:fldChar w:fldCharType="separate"/>
      </w:r>
      <w:r>
        <w:rPr/>
        <w:t>49</w:t>
      </w:r>
      <w:r>
        <w:rPr/>
        <w:fldChar w:fldCharType="end"/>
      </w:r>
      <w:bookmarkEnd w:id="185"/>
      <w:r>
        <w:rPr/>
        <w:t xml:space="preserve"> - Quadro elétrico com parte vivas expostas - Obra B.</w:t>
      </w:r>
      <w:bookmarkEnd w:id="184"/>
    </w:p>
    <w:p>
      <w:pPr>
        <w:pStyle w:val="Normal"/>
        <w:tabs>
          <w:tab w:val="clear" w:pos="708"/>
          <w:tab w:val="left" w:pos="567" w:leader="none"/>
        </w:tabs>
        <w:jc w:val="center"/>
        <w:rPr/>
      </w:pPr>
      <w:r>
        <w:rPr/>
        <w:drawing>
          <wp:inline distT="0" distB="0" distL="0" distR="0">
            <wp:extent cx="4330700" cy="2516505"/>
            <wp:effectExtent l="0" t="0" r="0" b="0"/>
            <wp:docPr id="60" name="Figura2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Figura26" descr=""/>
                    <pic:cNvPicPr>
                      <a:picLocks noChangeAspect="1" noChangeArrowheads="1"/>
                    </pic:cNvPicPr>
                  </pic:nvPicPr>
                  <pic:blipFill>
                    <a:blip r:embed="rId61"/>
                    <a:stretch>
                      <a:fillRect/>
                    </a:stretch>
                  </pic:blipFill>
                  <pic:spPr bwMode="auto">
                    <a:xfrm>
                      <a:off x="0" y="0"/>
                      <a:ext cx="4330700" cy="2516505"/>
                    </a:xfrm>
                    <a:prstGeom prst="rect">
                      <a:avLst/>
                    </a:prstGeom>
                  </pic:spPr>
                </pic:pic>
              </a:graphicData>
            </a:graphic>
          </wp:inline>
        </w:drawing>
      </w:r>
    </w:p>
    <w:p>
      <w:pPr>
        <w:pStyle w:val="ListParagraph"/>
        <w:ind w:hanging="0"/>
        <w:jc w:val="center"/>
        <w:rPr>
          <w:rFonts w:cs="Arial"/>
          <w:color w:val="000000" w:themeColor="text1"/>
          <w:sz w:val="20"/>
          <w:szCs w:val="20"/>
        </w:rPr>
      </w:pPr>
      <w:r>
        <w:rPr>
          <w:rFonts w:cs="Arial"/>
          <w:color w:val="000000" w:themeColor="text1"/>
          <w:sz w:val="20"/>
          <w:szCs w:val="20"/>
        </w:rPr>
        <w:t>Fonte: Autor próprio (2023).</w:t>
      </w:r>
    </w:p>
    <w:p>
      <w:pPr>
        <w:pStyle w:val="ListParagraph"/>
        <w:rPr/>
      </w:pPr>
      <w:r>
        <w:rPr/>
        <w:t xml:space="preserve">Referente aos equipamentos, as normas prescrevem que eles devem ser instalados em locais com iluminação adequada para a atividade em questão (Brasil, 2021). No entanto, observando a situação na </w:t>
      </w:r>
      <w:r>
        <w:rPr/>
        <w:fldChar w:fldCharType="begin"/>
      </w:r>
      <w:r>
        <w:rPr/>
        <w:instrText> REF _Ref147778899 \h </w:instrText>
      </w:r>
      <w:r>
        <w:rPr/>
        <w:fldChar w:fldCharType="separate"/>
      </w:r>
      <w:r>
        <w:rPr/>
        <w:t>Figura 50</w:t>
      </w:r>
      <w:r>
        <w:rPr/>
        <w:fldChar w:fldCharType="end"/>
      </w:r>
      <w:r>
        <w:rPr/>
        <w:t>, pode-se constatar que na Obra B há uma betoneira em pleno funcionamento que não possui a iluminação necessária, o que configura uma não conformidade.</w:t>
      </w:r>
    </w:p>
    <w:p>
      <w:pPr>
        <w:pStyle w:val="Normal"/>
        <w:rPr/>
      </w:pPr>
      <w:r>
        <w:rPr/>
      </w:r>
    </w:p>
    <w:p>
      <w:pPr>
        <w:pStyle w:val="EstiloLegenda"/>
        <w:rPr/>
      </w:pPr>
      <w:bookmarkStart w:id="186" w:name="_Toc153611333"/>
      <w:bookmarkStart w:id="187" w:name="_Ref147778899"/>
      <w:r>
        <w:rPr/>
        <w:t xml:space="preserve">Figura </w:t>
      </w:r>
      <w:r>
        <w:rPr/>
        <w:fldChar w:fldCharType="begin"/>
      </w:r>
      <w:r>
        <w:rPr/>
        <w:instrText> SEQ Figura \* ARABIC </w:instrText>
      </w:r>
      <w:r>
        <w:rPr/>
        <w:fldChar w:fldCharType="separate"/>
      </w:r>
      <w:r>
        <w:rPr/>
        <w:t>50</w:t>
      </w:r>
      <w:r>
        <w:rPr/>
        <w:fldChar w:fldCharType="end"/>
      </w:r>
      <w:bookmarkEnd w:id="187"/>
      <w:r>
        <w:rPr/>
        <w:t xml:space="preserve"> - Instalação da betoneira - Obra B.</w:t>
      </w:r>
      <w:bookmarkEnd w:id="186"/>
    </w:p>
    <w:p>
      <w:pPr>
        <w:pStyle w:val="Normal"/>
        <w:jc w:val="center"/>
        <w:rPr/>
      </w:pPr>
      <w:r>
        <w:rPr/>
        <w:drawing>
          <wp:inline distT="0" distB="0" distL="0" distR="0">
            <wp:extent cx="4690745" cy="3486785"/>
            <wp:effectExtent l="0" t="0" r="0" b="0"/>
            <wp:docPr id="61" name="Imagem 2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Imagem 20" descr=""/>
                    <pic:cNvPicPr>
                      <a:picLocks noChangeAspect="1" noChangeArrowheads="1"/>
                    </pic:cNvPicPr>
                  </pic:nvPicPr>
                  <pic:blipFill>
                    <a:blip r:embed="rId62"/>
                    <a:stretch>
                      <a:fillRect/>
                    </a:stretch>
                  </pic:blipFill>
                  <pic:spPr bwMode="auto">
                    <a:xfrm>
                      <a:off x="0" y="0"/>
                      <a:ext cx="4690745" cy="3486785"/>
                    </a:xfrm>
                    <a:prstGeom prst="rect">
                      <a:avLst/>
                    </a:prstGeom>
                  </pic:spPr>
                </pic:pic>
              </a:graphicData>
            </a:graphic>
          </wp:inline>
        </w:drawing>
      </w:r>
    </w:p>
    <w:p>
      <w:pPr>
        <w:pStyle w:val="ListParagraph"/>
        <w:ind w:hanging="0"/>
        <w:jc w:val="center"/>
        <w:rPr>
          <w:rFonts w:cs="Arial"/>
          <w:color w:val="000000" w:themeColor="text1"/>
          <w:sz w:val="20"/>
          <w:szCs w:val="20"/>
        </w:rPr>
      </w:pPr>
      <w:r>
        <w:rPr>
          <w:rFonts w:cs="Arial"/>
          <w:color w:val="000000" w:themeColor="text1"/>
          <w:sz w:val="20"/>
          <w:szCs w:val="20"/>
        </w:rPr>
        <w:t>Fonte: Autor próprio (2023).</w:t>
      </w:r>
    </w:p>
    <w:p>
      <w:pPr>
        <w:pStyle w:val="ListParagraph"/>
        <w:ind w:hanging="0"/>
        <w:jc w:val="center"/>
        <w:rPr>
          <w:rFonts w:cs="Arial"/>
          <w:color w:val="000000" w:themeColor="text1"/>
          <w:sz w:val="20"/>
          <w:szCs w:val="20"/>
        </w:rPr>
      </w:pPr>
      <w:r>
        <w:rPr>
          <w:rFonts w:cs="Arial"/>
          <w:color w:val="000000" w:themeColor="text1"/>
          <w:sz w:val="20"/>
          <w:szCs w:val="20"/>
        </w:rPr>
      </w:r>
    </w:p>
    <w:p>
      <w:pPr>
        <w:pStyle w:val="ListParagraph"/>
        <w:rPr/>
      </w:pPr>
      <w:r>
        <w:rPr/>
        <w:t>A fim de resolver essa questão, é recomendável a instalação de uma lâmpada na área em questão, aprimorando significativamente as condições de iluminação no local. Tal medida não apenas garantirá a conformidade com as normas, mas também promoverá um ambiente de trabalho mais seguro e eficiente para os colaboradores envolvidos na obra.</w:t>
      </w:r>
    </w:p>
    <w:p>
      <w:pPr>
        <w:pStyle w:val="ListParagraph"/>
        <w:rPr/>
      </w:pPr>
      <w:r>
        <w:rPr/>
        <w:t xml:space="preserve">Em relação às medidas de prevenção contra queda de altura, como já destacado anteriormente, conforme evidenciado na </w:t>
      </w:r>
      <w:r>
        <w:rPr/>
        <w:fldChar w:fldCharType="begin"/>
      </w:r>
      <w:r>
        <w:rPr/>
        <w:instrText> REF _Ref147684098 \h </w:instrText>
      </w:r>
      <w:r>
        <w:rPr/>
        <w:fldChar w:fldCharType="separate"/>
      </w:r>
      <w:r>
        <w:rPr/>
        <w:t>Figura 45</w:t>
      </w:r>
      <w:r>
        <w:rPr/>
        <w:fldChar w:fldCharType="end"/>
      </w:r>
      <w:r>
        <w:rPr/>
        <w:t xml:space="preserve">, a Obra B apresenta guarda-corpo instalado em todas as áreas que representam algum risco para os trabalhadores. No entanto, observa-se que em alguns pontos específicos, a tela de sinalização requer manutenção, uma vez que está solta do guarda-corpo, criando uma abertura exposta. Na </w:t>
      </w:r>
      <w:r>
        <w:rPr>
          <w:rFonts w:eastAsia="Times New Roman" w:cs="Times New Roman"/>
          <w:iCs/>
          <w:sz w:val="20"/>
          <w:szCs w:val="20"/>
        </w:rPr>
        <w:fldChar w:fldCharType="begin"/>
      </w:r>
      <w:r>
        <w:rPr>
          <w:sz w:val="20"/>
          <w:szCs w:val="20"/>
          <w:iCs/>
          <w:rFonts w:eastAsia="Times New Roman" w:cs="Times New Roman"/>
        </w:rPr>
        <w:instrText> REF _Ref152096849 \h </w:instrText>
      </w:r>
      <w:r>
        <w:rPr>
          <w:sz w:val="20"/>
          <w:szCs w:val="20"/>
          <w:iCs/>
          <w:rFonts w:eastAsia="Times New Roman" w:cs="Times New Roman"/>
        </w:rPr>
        <w:fldChar w:fldCharType="separate"/>
      </w:r>
      <w:r>
        <w:rPr>
          <w:sz w:val="20"/>
          <w:szCs w:val="20"/>
          <w:iCs/>
          <w:rFonts w:eastAsia="Times New Roman" w:cs="Times New Roman"/>
        </w:rPr>
        <w:t>Figura 51</w:t>
      </w:r>
      <w:r>
        <w:rPr>
          <w:sz w:val="20"/>
          <w:szCs w:val="20"/>
          <w:iCs/>
          <w:rFonts w:eastAsia="Times New Roman" w:cs="Times New Roman"/>
        </w:rPr>
        <w:fldChar w:fldCharType="end"/>
      </w:r>
      <w:r>
        <w:rPr/>
        <w:t xml:space="preserve"> pode-se identificar um desses locais que demandam intervenção para correção.</w:t>
      </w:r>
    </w:p>
    <w:p>
      <w:pPr>
        <w:pStyle w:val="EstiloLegenda"/>
        <w:jc w:val="both"/>
        <w:rPr/>
      </w:pPr>
      <w:r>
        <w:rPr/>
      </w:r>
      <w:bookmarkStart w:id="188" w:name="_Ref147780693"/>
      <w:bookmarkStart w:id="189" w:name="_Ref147780693"/>
    </w:p>
    <w:p>
      <w:pPr>
        <w:pStyle w:val="EstiloLegenda"/>
        <w:rPr/>
      </w:pPr>
      <w:bookmarkStart w:id="190" w:name="_Toc153611334"/>
      <w:bookmarkStart w:id="191" w:name="_Ref152096849"/>
      <w:r>
        <w:rPr/>
        <w:t xml:space="preserve">Figura </w:t>
      </w:r>
      <w:r>
        <w:rPr/>
        <w:fldChar w:fldCharType="begin"/>
      </w:r>
      <w:r>
        <w:rPr/>
        <w:instrText> SEQ Figura \* ARABIC </w:instrText>
      </w:r>
      <w:r>
        <w:rPr/>
        <w:fldChar w:fldCharType="separate"/>
      </w:r>
      <w:r>
        <w:rPr/>
        <w:t>51</w:t>
      </w:r>
      <w:r>
        <w:rPr/>
        <w:fldChar w:fldCharType="end"/>
      </w:r>
      <w:bookmarkEnd w:id="189"/>
      <w:bookmarkEnd w:id="191"/>
      <w:r>
        <w:rPr/>
        <w:t xml:space="preserve"> - Manutenção na tela de sinalização - Obra B.</w:t>
      </w:r>
      <w:bookmarkEnd w:id="190"/>
    </w:p>
    <w:p>
      <w:pPr>
        <w:pStyle w:val="Normal"/>
        <w:jc w:val="center"/>
        <w:rPr/>
      </w:pPr>
      <w:r>
        <w:rPr/>
        <w:drawing>
          <wp:inline distT="0" distB="0" distL="0" distR="0">
            <wp:extent cx="4690745" cy="3409315"/>
            <wp:effectExtent l="0" t="0" r="0" b="0"/>
            <wp:docPr id="62" name="Imagem 2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m 21" descr=""/>
                    <pic:cNvPicPr>
                      <a:picLocks noChangeAspect="1" noChangeArrowheads="1"/>
                    </pic:cNvPicPr>
                  </pic:nvPicPr>
                  <pic:blipFill>
                    <a:blip r:embed="rId63"/>
                    <a:stretch>
                      <a:fillRect/>
                    </a:stretch>
                  </pic:blipFill>
                  <pic:spPr bwMode="auto">
                    <a:xfrm>
                      <a:off x="0" y="0"/>
                      <a:ext cx="4690745" cy="3409315"/>
                    </a:xfrm>
                    <a:prstGeom prst="rect">
                      <a:avLst/>
                    </a:prstGeom>
                  </pic:spPr>
                </pic:pic>
              </a:graphicData>
            </a:graphic>
          </wp:inline>
        </w:drawing>
      </w:r>
    </w:p>
    <w:p>
      <w:pPr>
        <w:pStyle w:val="ListParagraph"/>
        <w:ind w:hanging="0"/>
        <w:jc w:val="center"/>
        <w:rPr>
          <w:rFonts w:cs="Arial"/>
          <w:color w:val="000000" w:themeColor="text1"/>
          <w:sz w:val="20"/>
          <w:szCs w:val="20"/>
        </w:rPr>
      </w:pPr>
      <w:r>
        <w:rPr>
          <w:rFonts w:cs="Arial"/>
          <w:color w:val="000000" w:themeColor="text1"/>
          <w:sz w:val="20"/>
          <w:szCs w:val="20"/>
        </w:rPr>
        <w:t>Fonte: Autor próprio (2023).</w:t>
      </w:r>
    </w:p>
    <w:p>
      <w:pPr>
        <w:pStyle w:val="ListParagraph"/>
        <w:ind w:hanging="0"/>
        <w:jc w:val="center"/>
        <w:rPr>
          <w:rFonts w:cs="Arial"/>
          <w:color w:val="000000" w:themeColor="text1"/>
          <w:sz w:val="20"/>
          <w:szCs w:val="20"/>
        </w:rPr>
      </w:pPr>
      <w:r>
        <w:rPr>
          <w:rFonts w:cs="Arial"/>
          <w:color w:val="000000" w:themeColor="text1"/>
          <w:sz w:val="20"/>
          <w:szCs w:val="20"/>
        </w:rPr>
      </w:r>
    </w:p>
    <w:p>
      <w:pPr>
        <w:pStyle w:val="ListParagraph"/>
        <w:rPr/>
      </w:pPr>
      <w:r>
        <w:rPr/>
        <w:t>A manutenção imediata desses pontos garantirá não apenas a conformidade com a NR-18, mas também proporcionará um ambiente de trabalho mais seguro para os colaboradores, minimizando os riscos potenciais associados a essas áreas.</w:t>
      </w:r>
    </w:p>
    <w:p>
      <w:pPr>
        <w:pStyle w:val="ListParagraph"/>
        <w:rPr/>
      </w:pPr>
      <w:r>
        <w:rPr/>
        <w:t>Salienta-se que, conforme Silva (2015), é necessário que se mantenha uma vigilância constante sobre máquinas, equipamentos e ferramentas, uma vez que esses elementos podem ser catalisadores de acidentes graves em ambientes de construção. Nesse contexto, é essencial assegurar um ambiente de trabalho seguro, caracterizado por iluminação apropriada, sinalização eficaz e disposição dos equipamentos em conformidade com as normas da NR-12.</w:t>
      </w:r>
    </w:p>
    <w:p>
      <w:pPr>
        <w:pStyle w:val="ListParagraph"/>
        <w:rPr/>
      </w:pPr>
      <w:r>
        <w:rPr/>
        <w:t>No que diz respeito aos treinamentos dos colaboradores, constatou-se que eles foram devidamente capacitados de acordo com as normas estabelecidas na NR-01 e também na NR-18. Em que, foram realizadas avaliações com o intuito de verificar o conhecimento adquirido pelos trabalhadores.</w:t>
      </w:r>
    </w:p>
    <w:p>
      <w:pPr>
        <w:pStyle w:val="ListParagraph"/>
        <w:rPr/>
      </w:pPr>
      <w:r>
        <w:rPr/>
        <w:t xml:space="preserve"> </w:t>
      </w:r>
      <w:r>
        <w:rPr/>
        <w:t>No entanto, assim como na Obra A, na Obra B não são disponibilizadas imagens dos certificados nem das avaliações, uma vez que se tratam de documentos internos da empresa. Além disso, tais documentos possuem informações pessoais dos trabalhadores, bem como da empresa.</w:t>
      </w:r>
    </w:p>
    <w:p>
      <w:pPr>
        <w:pStyle w:val="ListParagraph"/>
        <w:rPr/>
      </w:pPr>
      <w:r>
        <w:rPr/>
        <w:t xml:space="preserve">No </w:t>
      </w:r>
      <w:r>
        <w:rPr/>
        <w:fldChar w:fldCharType="begin"/>
      </w:r>
      <w:r>
        <w:rPr/>
        <w:instrText> REF _Ref147862620 \h </w:instrText>
      </w:r>
      <w:r>
        <w:rPr/>
        <w:fldChar w:fldCharType="separate"/>
      </w:r>
      <w:r>
        <w:rPr/>
        <w:t>Quadro 4</w:t>
      </w:r>
      <w:r>
        <w:rPr/>
        <w:fldChar w:fldCharType="end"/>
      </w:r>
      <w:r>
        <w:rPr/>
        <w:t xml:space="preserve"> é apresentado a quantidade total de itens conformes, itens não conformes, itens parciais e itens não avaliados que foram constatados na Obra B, através do </w:t>
      </w:r>
      <w:r>
        <w:rPr>
          <w:i/>
          <w:iCs/>
        </w:rPr>
        <w:t xml:space="preserve">checklist </w:t>
      </w:r>
      <w:r>
        <w:rPr/>
        <w:t xml:space="preserve">preenchido de acordo com o </w:t>
      </w:r>
      <w:r>
        <w:rPr/>
        <w:fldChar w:fldCharType="begin"/>
      </w:r>
      <w:r>
        <w:rPr/>
        <w:instrText> REF _Ref136185560 \h </w:instrText>
      </w:r>
      <w:r>
        <w:rPr/>
        <w:fldChar w:fldCharType="separate"/>
      </w:r>
      <w:r>
        <w:rPr/>
        <w:t>Quadro 1</w:t>
      </w:r>
      <w:r>
        <w:rPr/>
        <w:fldChar w:fldCharType="end"/>
      </w:r>
      <w:r>
        <w:rPr/>
        <w:t>.</w:t>
      </w:r>
    </w:p>
    <w:p>
      <w:pPr>
        <w:pStyle w:val="EstiloLegenda"/>
        <w:rPr/>
      </w:pPr>
      <w:r>
        <w:rPr/>
      </w:r>
    </w:p>
    <w:p>
      <w:pPr>
        <w:pStyle w:val="EstiloLegenda"/>
        <w:rPr/>
      </w:pPr>
      <w:bookmarkStart w:id="192" w:name="_Toc153384327"/>
      <w:bookmarkStart w:id="193" w:name="_Ref147862620"/>
      <w:r>
        <w:rPr/>
        <w:t xml:space="preserve">Quadro </w:t>
      </w:r>
      <w:r>
        <w:rPr/>
        <w:fldChar w:fldCharType="begin"/>
      </w:r>
      <w:r>
        <w:rPr/>
        <w:instrText> SEQ Quadro \* ARABIC </w:instrText>
      </w:r>
      <w:r>
        <w:rPr/>
        <w:fldChar w:fldCharType="separate"/>
      </w:r>
      <w:r>
        <w:rPr/>
        <w:t>4</w:t>
      </w:r>
      <w:r>
        <w:rPr/>
        <w:fldChar w:fldCharType="end"/>
      </w:r>
      <w:bookmarkEnd w:id="193"/>
      <w:r>
        <w:rPr/>
        <w:t xml:space="preserve"> - Totais de itens - Obra B.</w:t>
      </w:r>
      <w:bookmarkEnd w:id="192"/>
    </w:p>
    <w:tbl>
      <w:tblPr>
        <w:tblStyle w:val="Tabelacomgrade"/>
        <w:tblW w:w="9061" w:type="dxa"/>
        <w:jc w:val="left"/>
        <w:tblInd w:w="0" w:type="dxa"/>
        <w:tblCellMar>
          <w:top w:w="0" w:type="dxa"/>
          <w:left w:w="108" w:type="dxa"/>
          <w:bottom w:w="0" w:type="dxa"/>
          <w:right w:w="108" w:type="dxa"/>
        </w:tblCellMar>
        <w:tblLook w:firstRow="1" w:noVBand="1" w:lastRow="0" w:firstColumn="1" w:lastColumn="0" w:noHBand="0" w:val="04a0"/>
      </w:tblPr>
      <w:tblGrid>
        <w:gridCol w:w="4530"/>
        <w:gridCol w:w="4530"/>
      </w:tblGrid>
      <w:tr>
        <w:trPr>
          <w:trHeight w:val="369" w:hRule="atLeast"/>
        </w:trPr>
        <w:tc>
          <w:tcPr>
            <w:tcW w:w="4530" w:type="dxa"/>
            <w:tcBorders/>
            <w:shd w:color="auto" w:fill="E7E6E6" w:themeFill="background2" w:val="clear"/>
            <w:vAlign w:val="center"/>
          </w:tcPr>
          <w:p>
            <w:pPr>
              <w:pStyle w:val="ListParagraph"/>
              <w:ind w:hanging="0"/>
              <w:jc w:val="center"/>
              <w:rPr>
                <w:b/>
                <w:b/>
                <w:bCs/>
                <w:color w:val="000000" w:themeColor="text1"/>
                <w:sz w:val="20"/>
                <w:szCs w:val="20"/>
              </w:rPr>
            </w:pPr>
            <w:r>
              <w:rPr>
                <w:b/>
                <w:bCs/>
                <w:color w:val="000000" w:themeColor="text1"/>
                <w:sz w:val="20"/>
                <w:szCs w:val="20"/>
              </w:rPr>
              <w:t xml:space="preserve">Descrição </w:t>
            </w:r>
          </w:p>
        </w:tc>
        <w:tc>
          <w:tcPr>
            <w:tcW w:w="4530" w:type="dxa"/>
            <w:tcBorders/>
            <w:shd w:color="auto" w:fill="E7E6E6" w:themeFill="background2" w:val="clear"/>
            <w:vAlign w:val="center"/>
          </w:tcPr>
          <w:p>
            <w:pPr>
              <w:pStyle w:val="ListParagraph"/>
              <w:ind w:hanging="0"/>
              <w:jc w:val="center"/>
              <w:rPr>
                <w:b/>
                <w:b/>
                <w:bCs/>
                <w:color w:val="000000" w:themeColor="text1"/>
                <w:sz w:val="20"/>
                <w:szCs w:val="20"/>
              </w:rPr>
            </w:pPr>
            <w:r>
              <w:rPr>
                <w:b/>
                <w:bCs/>
                <w:color w:val="000000" w:themeColor="text1"/>
                <w:sz w:val="20"/>
                <w:szCs w:val="20"/>
              </w:rPr>
              <w:t>Total</w:t>
            </w:r>
          </w:p>
        </w:tc>
      </w:tr>
      <w:tr>
        <w:trPr>
          <w:trHeight w:val="369" w:hRule="atLeast"/>
        </w:trPr>
        <w:tc>
          <w:tcPr>
            <w:tcW w:w="4530" w:type="dxa"/>
            <w:tcBorders/>
            <w:vAlign w:val="center"/>
          </w:tcPr>
          <w:p>
            <w:pPr>
              <w:pStyle w:val="ListParagraph"/>
              <w:ind w:hanging="0"/>
              <w:jc w:val="center"/>
              <w:rPr>
                <w:sz w:val="20"/>
                <w:szCs w:val="20"/>
              </w:rPr>
            </w:pPr>
            <w:r>
              <w:rPr>
                <w:sz w:val="20"/>
                <w:szCs w:val="20"/>
              </w:rPr>
              <w:t>Total de itens conformes</w:t>
            </w:r>
          </w:p>
        </w:tc>
        <w:tc>
          <w:tcPr>
            <w:tcW w:w="4530" w:type="dxa"/>
            <w:tcBorders/>
            <w:vAlign w:val="center"/>
          </w:tcPr>
          <w:p>
            <w:pPr>
              <w:pStyle w:val="ListParagraph"/>
              <w:ind w:hanging="0"/>
              <w:jc w:val="center"/>
              <w:rPr>
                <w:sz w:val="20"/>
                <w:szCs w:val="20"/>
              </w:rPr>
            </w:pPr>
            <w:r>
              <w:rPr>
                <w:sz w:val="20"/>
                <w:szCs w:val="20"/>
              </w:rPr>
              <w:t>33</w:t>
            </w:r>
          </w:p>
        </w:tc>
      </w:tr>
      <w:tr>
        <w:trPr>
          <w:trHeight w:val="369" w:hRule="atLeast"/>
        </w:trPr>
        <w:tc>
          <w:tcPr>
            <w:tcW w:w="4530" w:type="dxa"/>
            <w:tcBorders/>
            <w:vAlign w:val="center"/>
          </w:tcPr>
          <w:p>
            <w:pPr>
              <w:pStyle w:val="ListParagraph"/>
              <w:ind w:hanging="0"/>
              <w:jc w:val="center"/>
              <w:rPr>
                <w:sz w:val="20"/>
                <w:szCs w:val="20"/>
              </w:rPr>
            </w:pPr>
            <w:r>
              <w:rPr>
                <w:sz w:val="20"/>
                <w:szCs w:val="20"/>
              </w:rPr>
              <w:t>Total de itens não conformes</w:t>
            </w:r>
          </w:p>
        </w:tc>
        <w:tc>
          <w:tcPr>
            <w:tcW w:w="4530" w:type="dxa"/>
            <w:tcBorders/>
            <w:vAlign w:val="center"/>
          </w:tcPr>
          <w:p>
            <w:pPr>
              <w:pStyle w:val="ListParagraph"/>
              <w:ind w:hanging="0"/>
              <w:jc w:val="center"/>
              <w:rPr>
                <w:sz w:val="20"/>
                <w:szCs w:val="20"/>
              </w:rPr>
            </w:pPr>
            <w:r>
              <w:rPr>
                <w:sz w:val="20"/>
                <w:szCs w:val="20"/>
              </w:rPr>
              <w:t>3</w:t>
            </w:r>
          </w:p>
        </w:tc>
      </w:tr>
      <w:tr>
        <w:trPr>
          <w:trHeight w:val="369" w:hRule="atLeast"/>
        </w:trPr>
        <w:tc>
          <w:tcPr>
            <w:tcW w:w="4530" w:type="dxa"/>
            <w:tcBorders/>
            <w:vAlign w:val="center"/>
          </w:tcPr>
          <w:p>
            <w:pPr>
              <w:pStyle w:val="ListParagraph"/>
              <w:ind w:hanging="0"/>
              <w:jc w:val="center"/>
              <w:rPr>
                <w:sz w:val="20"/>
                <w:szCs w:val="20"/>
              </w:rPr>
            </w:pPr>
            <w:r>
              <w:rPr>
                <w:sz w:val="20"/>
                <w:szCs w:val="20"/>
              </w:rPr>
              <w:t>Total de itens parciais</w:t>
            </w:r>
          </w:p>
        </w:tc>
        <w:tc>
          <w:tcPr>
            <w:tcW w:w="4530" w:type="dxa"/>
            <w:tcBorders/>
            <w:vAlign w:val="center"/>
          </w:tcPr>
          <w:p>
            <w:pPr>
              <w:pStyle w:val="ListParagraph"/>
              <w:ind w:hanging="0"/>
              <w:jc w:val="center"/>
              <w:rPr>
                <w:sz w:val="20"/>
                <w:szCs w:val="20"/>
              </w:rPr>
            </w:pPr>
            <w:r>
              <w:rPr>
                <w:sz w:val="20"/>
                <w:szCs w:val="20"/>
              </w:rPr>
              <w:t>1</w:t>
            </w:r>
          </w:p>
        </w:tc>
      </w:tr>
      <w:tr>
        <w:trPr>
          <w:trHeight w:val="369" w:hRule="atLeast"/>
        </w:trPr>
        <w:tc>
          <w:tcPr>
            <w:tcW w:w="4530" w:type="dxa"/>
            <w:tcBorders/>
            <w:vAlign w:val="center"/>
          </w:tcPr>
          <w:p>
            <w:pPr>
              <w:pStyle w:val="ListParagraph"/>
              <w:ind w:hanging="0"/>
              <w:jc w:val="center"/>
              <w:rPr>
                <w:sz w:val="20"/>
                <w:szCs w:val="20"/>
              </w:rPr>
            </w:pPr>
            <w:r>
              <w:rPr>
                <w:sz w:val="20"/>
                <w:szCs w:val="20"/>
              </w:rPr>
              <w:t xml:space="preserve">Total de itens não avaliados </w:t>
            </w:r>
          </w:p>
        </w:tc>
        <w:tc>
          <w:tcPr>
            <w:tcW w:w="4530" w:type="dxa"/>
            <w:tcBorders/>
            <w:vAlign w:val="center"/>
          </w:tcPr>
          <w:p>
            <w:pPr>
              <w:pStyle w:val="ListParagraph"/>
              <w:ind w:hanging="0"/>
              <w:jc w:val="center"/>
              <w:rPr>
                <w:sz w:val="20"/>
                <w:szCs w:val="20"/>
              </w:rPr>
            </w:pPr>
            <w:r>
              <w:rPr>
                <w:sz w:val="20"/>
                <w:szCs w:val="20"/>
              </w:rPr>
              <w:t>2</w:t>
            </w:r>
          </w:p>
        </w:tc>
      </w:tr>
      <w:tr>
        <w:trPr>
          <w:trHeight w:val="369" w:hRule="atLeast"/>
        </w:trPr>
        <w:tc>
          <w:tcPr>
            <w:tcW w:w="4530" w:type="dxa"/>
            <w:tcBorders/>
            <w:vAlign w:val="center"/>
          </w:tcPr>
          <w:p>
            <w:pPr>
              <w:pStyle w:val="ListParagraph"/>
              <w:ind w:hanging="0"/>
              <w:jc w:val="center"/>
              <w:rPr>
                <w:rFonts w:cs="Arial"/>
                <w:color w:val="000000" w:themeColor="text1"/>
                <w:sz w:val="20"/>
                <w:szCs w:val="20"/>
              </w:rPr>
            </w:pPr>
            <w:r>
              <w:rPr>
                <w:rFonts w:cs="Arial"/>
                <w:color w:val="000000" w:themeColor="text1"/>
                <w:sz w:val="20"/>
                <w:szCs w:val="20"/>
              </w:rPr>
              <w:t>Total de itens constantes no checklist</w:t>
            </w:r>
          </w:p>
        </w:tc>
        <w:tc>
          <w:tcPr>
            <w:tcW w:w="4530" w:type="dxa"/>
            <w:tcBorders/>
            <w:vAlign w:val="center"/>
          </w:tcPr>
          <w:p>
            <w:pPr>
              <w:pStyle w:val="ListParagraph"/>
              <w:ind w:hanging="0"/>
              <w:jc w:val="center"/>
              <w:rPr>
                <w:rFonts w:cs="Arial"/>
                <w:color w:val="000000" w:themeColor="text1"/>
                <w:sz w:val="20"/>
                <w:szCs w:val="20"/>
              </w:rPr>
            </w:pPr>
            <w:r>
              <w:rPr>
                <w:rFonts w:cs="Arial"/>
                <w:color w:val="000000" w:themeColor="text1"/>
                <w:sz w:val="20"/>
                <w:szCs w:val="20"/>
              </w:rPr>
              <w:t>39</w:t>
            </w:r>
          </w:p>
        </w:tc>
      </w:tr>
    </w:tbl>
    <w:p>
      <w:pPr>
        <w:pStyle w:val="ListParagraph"/>
        <w:spacing w:before="120" w:after="0"/>
        <w:ind w:hanging="0"/>
        <w:contextualSpacing/>
        <w:jc w:val="center"/>
        <w:rPr>
          <w:rFonts w:cs="Arial"/>
          <w:color w:val="000000" w:themeColor="text1"/>
          <w:sz w:val="20"/>
          <w:szCs w:val="20"/>
        </w:rPr>
      </w:pPr>
      <w:r>
        <w:rPr>
          <w:rFonts w:cs="Arial"/>
          <w:color w:val="000000" w:themeColor="text1"/>
          <w:sz w:val="20"/>
          <w:szCs w:val="20"/>
        </w:rPr>
        <w:t>Fonte: Autor próprio (2023).</w:t>
      </w:r>
    </w:p>
    <w:p>
      <w:pPr>
        <w:pStyle w:val="ListParagraph"/>
        <w:spacing w:before="120" w:after="0"/>
        <w:ind w:hanging="0"/>
        <w:contextualSpacing/>
        <w:jc w:val="center"/>
        <w:rPr>
          <w:rFonts w:cs="Arial"/>
          <w:color w:val="000000" w:themeColor="text1"/>
          <w:sz w:val="20"/>
          <w:szCs w:val="20"/>
        </w:rPr>
      </w:pPr>
      <w:r>
        <w:rPr>
          <w:rFonts w:cs="Arial"/>
          <w:color w:val="000000" w:themeColor="text1"/>
          <w:sz w:val="20"/>
          <w:szCs w:val="20"/>
        </w:rPr>
      </w:r>
    </w:p>
    <w:p>
      <w:pPr>
        <w:pStyle w:val="ListParagraph"/>
        <w:rPr/>
      </w:pPr>
      <w:r>
        <w:rPr/>
        <w:t xml:space="preserve">Assim, através da Equação 1, Equação 2, Equação 3 e com o total de dados apresentados no </w:t>
      </w:r>
      <w:r>
        <w:rPr/>
        <w:fldChar w:fldCharType="begin"/>
      </w:r>
      <w:r>
        <w:rPr/>
        <w:instrText> REF _Ref147862620 \h </w:instrText>
      </w:r>
      <w:r>
        <w:rPr/>
        <w:fldChar w:fldCharType="separate"/>
      </w:r>
      <w:r>
        <w:rPr/>
        <w:t>Quadro 4</w:t>
      </w:r>
      <w:r>
        <w:rPr/>
        <w:fldChar w:fldCharType="end"/>
      </w:r>
      <w:r>
        <w:rPr/>
        <w:t xml:space="preserve">, têm-se a proporcionalidade de cada itens em relação a quantidade total de itens avaliados, conforme apresentado no </w:t>
      </w:r>
      <w:r>
        <w:rPr/>
        <w:fldChar w:fldCharType="begin"/>
      </w:r>
      <w:r>
        <w:rPr/>
        <w:instrText> REF _Ref147863245 \h </w:instrText>
      </w:r>
      <w:r>
        <w:rPr/>
        <w:fldChar w:fldCharType="separate"/>
      </w:r>
      <w:r>
        <w:rPr/>
        <w:t>Quadro 5</w:t>
      </w:r>
      <w:r>
        <w:rPr/>
        <w:fldChar w:fldCharType="end"/>
      </w:r>
      <w:r>
        <w:rPr/>
        <w:t>.</w:t>
      </w:r>
    </w:p>
    <w:p>
      <w:pPr>
        <w:pStyle w:val="Normal"/>
        <w:rPr/>
      </w:pPr>
      <w:r>
        <w:rPr/>
      </w:r>
    </w:p>
    <w:p>
      <w:pPr>
        <w:pStyle w:val="EstiloLegenda"/>
        <w:rPr/>
      </w:pPr>
      <w:bookmarkStart w:id="194" w:name="_Toc153384328"/>
      <w:bookmarkStart w:id="195" w:name="_Ref147863245"/>
      <w:r>
        <w:rPr/>
        <w:t xml:space="preserve">Quadro </w:t>
      </w:r>
      <w:r>
        <w:rPr/>
        <w:fldChar w:fldCharType="begin"/>
      </w:r>
      <w:r>
        <w:rPr/>
        <w:instrText> SEQ Quadro \* ARABIC </w:instrText>
      </w:r>
      <w:r>
        <w:rPr/>
        <w:fldChar w:fldCharType="separate"/>
      </w:r>
      <w:r>
        <w:rPr/>
        <w:t>5</w:t>
      </w:r>
      <w:r>
        <w:rPr/>
        <w:fldChar w:fldCharType="end"/>
      </w:r>
      <w:bookmarkEnd w:id="195"/>
      <w:r>
        <w:rPr/>
        <w:t xml:space="preserve"> - Proporcionalidade dos itens - Obra B.</w:t>
      </w:r>
      <w:bookmarkEnd w:id="194"/>
    </w:p>
    <w:tbl>
      <w:tblPr>
        <w:tblStyle w:val="Tabelacomgrade"/>
        <w:tblW w:w="9061" w:type="dxa"/>
        <w:jc w:val="left"/>
        <w:tblInd w:w="0" w:type="dxa"/>
        <w:tblCellMar>
          <w:top w:w="0" w:type="dxa"/>
          <w:left w:w="108" w:type="dxa"/>
          <w:bottom w:w="0" w:type="dxa"/>
          <w:right w:w="108" w:type="dxa"/>
        </w:tblCellMar>
        <w:tblLook w:firstRow="1" w:noVBand="1" w:lastRow="0" w:firstColumn="1" w:lastColumn="0" w:noHBand="0" w:val="04a0"/>
      </w:tblPr>
      <w:tblGrid>
        <w:gridCol w:w="4530"/>
        <w:gridCol w:w="4530"/>
      </w:tblGrid>
      <w:tr>
        <w:trPr>
          <w:trHeight w:val="369" w:hRule="atLeast"/>
        </w:trPr>
        <w:tc>
          <w:tcPr>
            <w:tcW w:w="4530" w:type="dxa"/>
            <w:tcBorders/>
            <w:shd w:color="auto" w:fill="E7E6E6" w:themeFill="background2" w:val="clear"/>
            <w:vAlign w:val="center"/>
          </w:tcPr>
          <w:p>
            <w:pPr>
              <w:pStyle w:val="ListParagraph"/>
              <w:ind w:hanging="0"/>
              <w:jc w:val="center"/>
              <w:rPr>
                <w:b/>
                <w:b/>
                <w:bCs/>
                <w:color w:val="000000" w:themeColor="text1"/>
                <w:sz w:val="20"/>
                <w:szCs w:val="20"/>
              </w:rPr>
            </w:pPr>
            <w:r>
              <w:rPr>
                <w:b/>
                <w:bCs/>
                <w:color w:val="000000" w:themeColor="text1"/>
                <w:sz w:val="20"/>
                <w:szCs w:val="20"/>
              </w:rPr>
              <w:t xml:space="preserve">Descrição </w:t>
            </w:r>
          </w:p>
        </w:tc>
        <w:tc>
          <w:tcPr>
            <w:tcW w:w="4530" w:type="dxa"/>
            <w:tcBorders/>
            <w:shd w:color="auto" w:fill="E7E6E6" w:themeFill="background2" w:val="clear"/>
            <w:vAlign w:val="center"/>
          </w:tcPr>
          <w:p>
            <w:pPr>
              <w:pStyle w:val="ListParagraph"/>
              <w:ind w:hanging="0"/>
              <w:jc w:val="center"/>
              <w:rPr>
                <w:b/>
                <w:b/>
                <w:bCs/>
                <w:color w:val="000000" w:themeColor="text1"/>
                <w:sz w:val="20"/>
                <w:szCs w:val="20"/>
              </w:rPr>
            </w:pPr>
            <w:r>
              <w:rPr>
                <w:b/>
                <w:bCs/>
                <w:color w:val="000000" w:themeColor="text1"/>
                <w:sz w:val="20"/>
                <w:szCs w:val="20"/>
              </w:rPr>
              <w:t>Proporcionalidade (%)</w:t>
            </w:r>
          </w:p>
        </w:tc>
      </w:tr>
      <w:tr>
        <w:trPr>
          <w:trHeight w:val="369" w:hRule="atLeast"/>
        </w:trPr>
        <w:tc>
          <w:tcPr>
            <w:tcW w:w="4530" w:type="dxa"/>
            <w:tcBorders/>
            <w:vAlign w:val="center"/>
          </w:tcPr>
          <w:p>
            <w:pPr>
              <w:pStyle w:val="ListParagraph"/>
              <w:ind w:hanging="0"/>
              <w:jc w:val="center"/>
              <w:rPr>
                <w:sz w:val="20"/>
                <w:szCs w:val="20"/>
              </w:rPr>
            </w:pPr>
            <w:r>
              <w:rPr>
                <w:sz w:val="20"/>
                <w:szCs w:val="20"/>
              </w:rPr>
              <w:t>Itens conformes</w:t>
            </w:r>
          </w:p>
        </w:tc>
        <w:tc>
          <w:tcPr>
            <w:tcW w:w="4530" w:type="dxa"/>
            <w:tcBorders/>
            <w:vAlign w:val="center"/>
          </w:tcPr>
          <w:p>
            <w:pPr>
              <w:pStyle w:val="ListParagraph"/>
              <w:ind w:hanging="0"/>
              <w:jc w:val="center"/>
              <w:rPr>
                <w:sz w:val="20"/>
                <w:szCs w:val="20"/>
              </w:rPr>
            </w:pPr>
            <w:r>
              <w:rPr>
                <w:sz w:val="20"/>
                <w:szCs w:val="20"/>
              </w:rPr>
              <w:t>89%</w:t>
            </w:r>
          </w:p>
        </w:tc>
      </w:tr>
      <w:tr>
        <w:trPr>
          <w:trHeight w:val="369" w:hRule="atLeast"/>
        </w:trPr>
        <w:tc>
          <w:tcPr>
            <w:tcW w:w="4530" w:type="dxa"/>
            <w:tcBorders/>
            <w:vAlign w:val="center"/>
          </w:tcPr>
          <w:p>
            <w:pPr>
              <w:pStyle w:val="ListParagraph"/>
              <w:ind w:hanging="0"/>
              <w:jc w:val="center"/>
              <w:rPr>
                <w:sz w:val="20"/>
                <w:szCs w:val="20"/>
              </w:rPr>
            </w:pPr>
            <w:r>
              <w:rPr>
                <w:sz w:val="20"/>
                <w:szCs w:val="20"/>
              </w:rPr>
              <w:t>Itens não conformes</w:t>
            </w:r>
          </w:p>
        </w:tc>
        <w:tc>
          <w:tcPr>
            <w:tcW w:w="4530" w:type="dxa"/>
            <w:tcBorders/>
            <w:vAlign w:val="center"/>
          </w:tcPr>
          <w:p>
            <w:pPr>
              <w:pStyle w:val="ListParagraph"/>
              <w:ind w:hanging="0"/>
              <w:jc w:val="center"/>
              <w:rPr>
                <w:sz w:val="20"/>
                <w:szCs w:val="20"/>
              </w:rPr>
            </w:pPr>
            <w:r>
              <w:rPr>
                <w:sz w:val="20"/>
                <w:szCs w:val="20"/>
              </w:rPr>
              <w:t>8%</w:t>
            </w:r>
          </w:p>
        </w:tc>
      </w:tr>
      <w:tr>
        <w:trPr>
          <w:trHeight w:val="369" w:hRule="atLeast"/>
        </w:trPr>
        <w:tc>
          <w:tcPr>
            <w:tcW w:w="4530" w:type="dxa"/>
            <w:tcBorders/>
            <w:vAlign w:val="center"/>
          </w:tcPr>
          <w:p>
            <w:pPr>
              <w:pStyle w:val="ListParagraph"/>
              <w:ind w:hanging="0"/>
              <w:jc w:val="center"/>
              <w:rPr>
                <w:sz w:val="20"/>
                <w:szCs w:val="20"/>
              </w:rPr>
            </w:pPr>
            <w:r>
              <w:rPr>
                <w:sz w:val="20"/>
                <w:szCs w:val="20"/>
              </w:rPr>
              <w:t>Itens parciais</w:t>
            </w:r>
          </w:p>
        </w:tc>
        <w:tc>
          <w:tcPr>
            <w:tcW w:w="4530" w:type="dxa"/>
            <w:tcBorders/>
            <w:vAlign w:val="center"/>
          </w:tcPr>
          <w:p>
            <w:pPr>
              <w:pStyle w:val="ListParagraph"/>
              <w:ind w:hanging="0"/>
              <w:jc w:val="center"/>
              <w:rPr>
                <w:sz w:val="20"/>
                <w:szCs w:val="20"/>
              </w:rPr>
            </w:pPr>
            <w:r>
              <w:rPr>
                <w:sz w:val="20"/>
                <w:szCs w:val="20"/>
              </w:rPr>
              <w:t>3%</w:t>
            </w:r>
          </w:p>
        </w:tc>
      </w:tr>
    </w:tbl>
    <w:p>
      <w:pPr>
        <w:pStyle w:val="ListParagraph"/>
        <w:spacing w:before="120" w:after="0"/>
        <w:ind w:hanging="0"/>
        <w:contextualSpacing/>
        <w:jc w:val="center"/>
        <w:rPr>
          <w:rFonts w:cs="Arial"/>
          <w:color w:val="000000" w:themeColor="text1"/>
          <w:sz w:val="20"/>
          <w:szCs w:val="20"/>
        </w:rPr>
      </w:pPr>
      <w:r>
        <w:rPr>
          <w:rFonts w:cs="Arial"/>
          <w:color w:val="000000" w:themeColor="text1"/>
          <w:sz w:val="20"/>
          <w:szCs w:val="20"/>
        </w:rPr>
        <w:t>Fonte: Autor próprio (2023).</w:t>
      </w:r>
    </w:p>
    <w:p>
      <w:pPr>
        <w:pStyle w:val="ListParagraph"/>
        <w:spacing w:before="120" w:after="0"/>
        <w:ind w:hanging="0"/>
        <w:contextualSpacing/>
        <w:jc w:val="center"/>
        <w:rPr>
          <w:rFonts w:cs="Arial"/>
          <w:color w:val="000000" w:themeColor="text1"/>
          <w:sz w:val="20"/>
          <w:szCs w:val="20"/>
        </w:rPr>
      </w:pPr>
      <w:r>
        <w:rPr>
          <w:rFonts w:cs="Arial"/>
          <w:color w:val="000000" w:themeColor="text1"/>
          <w:sz w:val="20"/>
          <w:szCs w:val="20"/>
        </w:rPr>
      </w:r>
    </w:p>
    <w:p>
      <w:pPr>
        <w:pStyle w:val="ListParagraph"/>
        <w:rPr/>
      </w:pPr>
      <w:r>
        <w:rPr/>
        <w:t xml:space="preserve">Na </w:t>
      </w:r>
      <w:r>
        <w:rPr/>
        <w:fldChar w:fldCharType="begin"/>
      </w:r>
      <w:r>
        <w:rPr/>
        <w:instrText> REF _Ref147864385 \h </w:instrText>
      </w:r>
      <w:r>
        <w:rPr/>
        <w:fldChar w:fldCharType="separate"/>
      </w:r>
      <w:r>
        <w:rPr/>
        <w:t>Figura 52</w:t>
      </w:r>
      <w:r>
        <w:rPr/>
        <w:fldChar w:fldCharType="end"/>
      </w:r>
      <w:r>
        <w:rPr/>
        <w:t xml:space="preserve">, apresenta-se uma representação gráfica dos itens avaliados no canteiro de obras, referentes à Obra B. Destaca-se que a Obra B apresentou uma taxa de não conformidades de quase 10% em relação aos itens avaliados. </w:t>
      </w:r>
    </w:p>
    <w:p>
      <w:pPr>
        <w:pStyle w:val="ListParagraph"/>
        <w:rPr/>
      </w:pPr>
      <w:r>
        <w:rPr/>
        <w:t xml:space="preserve">Para aprimorar de maneira significativa a conformidade desses elementos, sugerem-se ações como a regularização do quadro de distribuição elétrica, no qual recomenda-se a instalação de uma placa de material isolante, e também, a implementação de manutenção diária nos sistemas de proteção e a adaptação do ambiente em que os equipamentos estão posicionados. Sugere-se ainda a criação de suporte para as extensões como forma de mantê-las suspensas.  </w:t>
      </w:r>
    </w:p>
    <w:p>
      <w:pPr>
        <w:pStyle w:val="ListParagraph"/>
        <w:rPr/>
      </w:pPr>
      <w:r>
        <w:rPr/>
        <w:t>Neste contexto, a aplicação dessas medidas desempenha um papel fundamental na redução da proporção de itens que não atendem aos padrões de conformidade.</w:t>
      </w:r>
    </w:p>
    <w:p>
      <w:pPr>
        <w:pStyle w:val="EstiloLegenda"/>
        <w:rPr/>
      </w:pPr>
      <w:bookmarkStart w:id="196" w:name="_Toc153611335"/>
      <w:bookmarkStart w:id="197" w:name="_Ref147864385"/>
      <w:r>
        <w:rPr/>
        <w:t xml:space="preserve">Figura </w:t>
      </w:r>
      <w:r>
        <w:rPr/>
        <w:fldChar w:fldCharType="begin"/>
      </w:r>
      <w:r>
        <w:rPr/>
        <w:instrText> SEQ Figura \* ARABIC </w:instrText>
      </w:r>
      <w:r>
        <w:rPr/>
        <w:fldChar w:fldCharType="separate"/>
      </w:r>
      <w:r>
        <w:rPr/>
        <w:t>52</w:t>
      </w:r>
      <w:r>
        <w:rPr/>
        <w:fldChar w:fldCharType="end"/>
      </w:r>
      <w:bookmarkEnd w:id="197"/>
      <w:r>
        <w:rPr/>
        <w:t xml:space="preserve"> - Relação dos itens avaliados - Obra B.</w:t>
      </w:r>
      <w:bookmarkEnd w:id="196"/>
    </w:p>
    <w:p>
      <w:pPr>
        <w:pStyle w:val="Normal"/>
        <w:jc w:val="center"/>
        <w:rPr/>
      </w:pPr>
      <w:r>
        <w:rPr/>
        <w:drawing>
          <wp:inline distT="0" distB="0" distL="0" distR="0">
            <wp:extent cx="4690745" cy="2819400"/>
            <wp:effectExtent l="0" t="0" r="0" b="0"/>
            <wp:docPr id="63" name="Imagem 8766561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Imagem 87665618" descr=""/>
                    <pic:cNvPicPr>
                      <a:picLocks noChangeAspect="1" noChangeArrowheads="1"/>
                    </pic:cNvPicPr>
                  </pic:nvPicPr>
                  <pic:blipFill>
                    <a:blip r:embed="rId64"/>
                    <a:stretch>
                      <a:fillRect/>
                    </a:stretch>
                  </pic:blipFill>
                  <pic:spPr bwMode="auto">
                    <a:xfrm>
                      <a:off x="0" y="0"/>
                      <a:ext cx="4690745" cy="2819400"/>
                    </a:xfrm>
                    <a:prstGeom prst="rect">
                      <a:avLst/>
                    </a:prstGeom>
                  </pic:spPr>
                </pic:pic>
              </a:graphicData>
            </a:graphic>
          </wp:inline>
        </w:drawing>
      </w:r>
    </w:p>
    <w:p>
      <w:pPr>
        <w:pStyle w:val="ListParagraph"/>
        <w:spacing w:before="120" w:after="0"/>
        <w:ind w:hanging="0"/>
        <w:contextualSpacing/>
        <w:jc w:val="center"/>
        <w:rPr>
          <w:rFonts w:cs="Arial"/>
          <w:color w:val="000000" w:themeColor="text1"/>
          <w:sz w:val="20"/>
          <w:szCs w:val="20"/>
        </w:rPr>
      </w:pPr>
      <w:r>
        <w:rPr>
          <w:rFonts w:cs="Arial"/>
          <w:color w:val="000000" w:themeColor="text1"/>
          <w:sz w:val="20"/>
          <w:szCs w:val="20"/>
        </w:rPr>
        <w:t>Fonte: Autor próprio (2023).</w:t>
      </w:r>
    </w:p>
    <w:p>
      <w:pPr>
        <w:pStyle w:val="Ttulo3"/>
        <w:rPr/>
      </w:pPr>
      <w:r>
        <w:rPr/>
      </w:r>
    </w:p>
    <w:p>
      <w:pPr>
        <w:pStyle w:val="Ttulo3"/>
        <w:rPr/>
      </w:pPr>
      <w:bookmarkStart w:id="198" w:name="_Toc153611173"/>
      <w:r>
        <w:rPr/>
        <w:t>4.2.3 Obra C</w:t>
      </w:r>
      <w:bookmarkEnd w:id="198"/>
    </w:p>
    <w:p>
      <w:pPr>
        <w:pStyle w:val="ListParagraph"/>
        <w:rPr/>
      </w:pPr>
      <w:r>
        <w:rPr/>
        <w:t xml:space="preserve">A terceira obra analisada, denominada Obra C e com as características mencionadas anteriormente, possuía um total de 45 funcionários, no dia da visita, em que 40 eram homens e 5 eram mulheres. </w:t>
      </w:r>
    </w:p>
    <w:p>
      <w:pPr>
        <w:pStyle w:val="ListParagraph"/>
        <w:rPr/>
      </w:pPr>
      <w:r>
        <w:rPr/>
        <w:t xml:space="preserve">A </w:t>
      </w:r>
      <w:r>
        <w:rPr/>
        <w:fldChar w:fldCharType="begin"/>
      </w:r>
      <w:r>
        <w:rPr/>
        <w:instrText> REF _Ref148013554 \h </w:instrText>
      </w:r>
      <w:r>
        <w:rPr/>
        <w:fldChar w:fldCharType="separate"/>
      </w:r>
      <w:r>
        <w:rPr/>
        <w:t>Figura 53</w:t>
      </w:r>
      <w:r>
        <w:rPr/>
        <w:fldChar w:fldCharType="end"/>
      </w:r>
      <w:r>
        <w:rPr/>
        <w:t xml:space="preserve"> oferece uma visão abrangente do canteiro de obras da Obra C, capturada a partir da entrada da obra, permitindo a observação dos serviços em andamento naquele momento.</w:t>
      </w:r>
    </w:p>
    <w:p>
      <w:pPr>
        <w:pStyle w:val="ListParagraph"/>
        <w:rPr/>
      </w:pPr>
      <w:r>
        <w:rPr/>
        <w:t>A visita à obra C contou com a presença do engenheiro de segurança do trabalho da empresa e da técnica de segurança do trabalho da própria obra. Durante essa visita, procedeu-se a uma avaliação minuciosa dos serviços em andamento, a fim de verificar a conformidade com as regulamentações estabelecidas pelas normas aplicáveis.</w:t>
      </w:r>
    </w:p>
    <w:p>
      <w:pPr>
        <w:pStyle w:val="ListParagraph"/>
        <w:rPr/>
      </w:pPr>
      <w:r>
        <w:rPr/>
        <w:t xml:space="preserve">Como mencionado anteriormente, tanto a Obra B quanto a Obra C pertencem à mesma construtora, o que implica que algumas diretrizes são compartilhadas entre esses empreendimentos. Uma delas é a política de permitir o acesso dos trabalhadores aos canteiros de obras somente quando estiverem devidamente protegidos pelas medidas estipuladas pela NR-18. </w:t>
      </w:r>
    </w:p>
    <w:p>
      <w:pPr>
        <w:pStyle w:val="ListParagraph"/>
        <w:rPr/>
      </w:pPr>
      <w:r>
        <w:rPr/>
      </w:r>
    </w:p>
    <w:p>
      <w:pPr>
        <w:pStyle w:val="EstiloLegenda"/>
        <w:rPr/>
      </w:pPr>
      <w:bookmarkStart w:id="199" w:name="_Toc153611336"/>
      <w:bookmarkStart w:id="200" w:name="_Ref148013554"/>
      <w:r>
        <w:rPr/>
        <w:t xml:space="preserve">Figura </w:t>
      </w:r>
      <w:r>
        <w:rPr/>
        <w:fldChar w:fldCharType="begin"/>
      </w:r>
      <w:r>
        <w:rPr/>
        <w:instrText> SEQ Figura \* ARABIC </w:instrText>
      </w:r>
      <w:r>
        <w:rPr/>
        <w:fldChar w:fldCharType="separate"/>
      </w:r>
      <w:r>
        <w:rPr/>
        <w:t>53</w:t>
      </w:r>
      <w:r>
        <w:rPr/>
        <w:fldChar w:fldCharType="end"/>
      </w:r>
      <w:bookmarkEnd w:id="200"/>
      <w:r>
        <w:rPr/>
        <w:t xml:space="preserve"> - Vista panorâmica - Obra C.</w:t>
      </w:r>
      <w:bookmarkEnd w:id="199"/>
    </w:p>
    <w:p>
      <w:pPr>
        <w:pStyle w:val="Normal"/>
        <w:jc w:val="center"/>
        <w:rPr/>
      </w:pPr>
      <w:r>
        <w:rPr/>
        <w:drawing>
          <wp:inline distT="0" distB="0" distL="0" distR="0">
            <wp:extent cx="4330700" cy="3155315"/>
            <wp:effectExtent l="0" t="0" r="0" b="0"/>
            <wp:docPr id="64" name="Figura2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Figura27" descr=""/>
                    <pic:cNvPicPr>
                      <a:picLocks noChangeAspect="1" noChangeArrowheads="1"/>
                    </pic:cNvPicPr>
                  </pic:nvPicPr>
                  <pic:blipFill>
                    <a:blip r:embed="rId65"/>
                    <a:stretch>
                      <a:fillRect/>
                    </a:stretch>
                  </pic:blipFill>
                  <pic:spPr bwMode="auto">
                    <a:xfrm>
                      <a:off x="0" y="0"/>
                      <a:ext cx="4330700" cy="3155315"/>
                    </a:xfrm>
                    <a:prstGeom prst="rect">
                      <a:avLst/>
                    </a:prstGeom>
                  </pic:spPr>
                </pic:pic>
              </a:graphicData>
            </a:graphic>
          </wp:inline>
        </w:drawing>
      </w:r>
    </w:p>
    <w:p>
      <w:pPr>
        <w:pStyle w:val="ListParagraph"/>
        <w:spacing w:before="120" w:after="0"/>
        <w:ind w:hanging="0"/>
        <w:contextualSpacing/>
        <w:jc w:val="center"/>
        <w:rPr>
          <w:rFonts w:cs="Arial"/>
          <w:color w:val="000000" w:themeColor="text1"/>
          <w:sz w:val="20"/>
          <w:szCs w:val="20"/>
        </w:rPr>
      </w:pPr>
      <w:r>
        <w:rPr>
          <w:rFonts w:cs="Arial"/>
          <w:color w:val="000000" w:themeColor="text1"/>
          <w:sz w:val="20"/>
          <w:szCs w:val="20"/>
        </w:rPr>
        <w:t>Fonte: Autor próprio (2023).</w:t>
      </w:r>
    </w:p>
    <w:p>
      <w:pPr>
        <w:pStyle w:val="ListParagraph"/>
        <w:spacing w:before="120" w:after="0"/>
        <w:ind w:hanging="0"/>
        <w:contextualSpacing/>
        <w:jc w:val="center"/>
        <w:rPr>
          <w:rFonts w:cs="Arial"/>
          <w:color w:val="000000" w:themeColor="text1"/>
          <w:sz w:val="20"/>
          <w:szCs w:val="20"/>
        </w:rPr>
      </w:pPr>
      <w:r>
        <w:rPr>
          <w:rFonts w:cs="Arial"/>
          <w:color w:val="000000" w:themeColor="text1"/>
          <w:sz w:val="20"/>
          <w:szCs w:val="20"/>
        </w:rPr>
      </w:r>
    </w:p>
    <w:p>
      <w:pPr>
        <w:pStyle w:val="ListParagraph"/>
        <w:rPr/>
      </w:pPr>
      <w:r>
        <w:rPr/>
        <w:t xml:space="preserve">A </w:t>
      </w:r>
      <w:r>
        <w:rPr/>
        <w:fldChar w:fldCharType="begin"/>
      </w:r>
      <w:r>
        <w:rPr/>
        <w:instrText> REF _Ref148635834 \h </w:instrText>
      </w:r>
      <w:r>
        <w:rPr/>
        <w:fldChar w:fldCharType="separate"/>
      </w:r>
      <w:r>
        <w:rPr/>
        <w:t>Figura 54</w:t>
      </w:r>
      <w:r>
        <w:rPr/>
        <w:fldChar w:fldCharType="end"/>
      </w:r>
      <w:r>
        <w:rPr/>
        <w:t xml:space="preserve"> ilustra a entrada do canteiro de obras da Obra C, em que se observa a presença da catraca de acesso. Destaca-se que a autorização para ingresso no canteiro só é concedida após minuciosa verificação da documentação e aprovação pelo responsável pela segurança do trabalho. Dessa maneira, observa-se que o cumprimento desse requisito está alinhado com as normas estabelecidas pela NR-18, em que veda a entrada ou permanência de trabalhadores que não estejam resguardados pela norma NR-18 (Brasil, 2021).</w:t>
      </w:r>
    </w:p>
    <w:p>
      <w:pPr>
        <w:pStyle w:val="ListParagraph"/>
        <w:rPr/>
      </w:pPr>
      <w:r>
        <w:rPr/>
      </w:r>
    </w:p>
    <w:p>
      <w:pPr>
        <w:pStyle w:val="EstiloLegenda"/>
        <w:rPr/>
      </w:pPr>
      <w:bookmarkStart w:id="201" w:name="_Toc153611337"/>
      <w:bookmarkStart w:id="202" w:name="_Ref148635834"/>
      <w:r>
        <w:rPr/>
        <w:t xml:space="preserve">Figura </w:t>
      </w:r>
      <w:r>
        <w:rPr/>
        <w:fldChar w:fldCharType="begin"/>
      </w:r>
      <w:r>
        <w:rPr/>
        <w:instrText> SEQ Figura \* ARABIC </w:instrText>
      </w:r>
      <w:r>
        <w:rPr/>
        <w:fldChar w:fldCharType="separate"/>
      </w:r>
      <w:r>
        <w:rPr/>
        <w:t>54</w:t>
      </w:r>
      <w:r>
        <w:rPr/>
        <w:fldChar w:fldCharType="end"/>
      </w:r>
      <w:bookmarkEnd w:id="202"/>
      <w:r>
        <w:rPr/>
        <w:t xml:space="preserve"> - Catraca de acesso para entrar na Obra C.</w:t>
      </w:r>
      <w:bookmarkEnd w:id="201"/>
    </w:p>
    <w:p>
      <w:pPr>
        <w:pStyle w:val="EstiloLegenda"/>
        <w:rPr/>
      </w:pPr>
      <w:r>
        <w:rPr/>
        <w:drawing>
          <wp:inline distT="0" distB="0" distL="0" distR="0">
            <wp:extent cx="4330700" cy="2509520"/>
            <wp:effectExtent l="0" t="0" r="0" b="0"/>
            <wp:docPr id="65" name="Imagem 2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Imagem 24" descr=""/>
                    <pic:cNvPicPr>
                      <a:picLocks noChangeAspect="1" noChangeArrowheads="1"/>
                    </pic:cNvPicPr>
                  </pic:nvPicPr>
                  <pic:blipFill>
                    <a:blip r:embed="rId66"/>
                    <a:stretch>
                      <a:fillRect/>
                    </a:stretch>
                  </pic:blipFill>
                  <pic:spPr bwMode="auto">
                    <a:xfrm>
                      <a:off x="0" y="0"/>
                      <a:ext cx="4330700" cy="2509520"/>
                    </a:xfrm>
                    <a:prstGeom prst="rect">
                      <a:avLst/>
                    </a:prstGeom>
                  </pic:spPr>
                </pic:pic>
              </a:graphicData>
            </a:graphic>
          </wp:inline>
        </w:drawing>
      </w:r>
    </w:p>
    <w:p>
      <w:pPr>
        <w:pStyle w:val="ListParagraph"/>
        <w:spacing w:before="120" w:after="0"/>
        <w:ind w:hanging="0"/>
        <w:contextualSpacing/>
        <w:jc w:val="center"/>
        <w:rPr>
          <w:rFonts w:cs="Arial"/>
          <w:color w:val="000000" w:themeColor="text1"/>
          <w:sz w:val="20"/>
          <w:szCs w:val="20"/>
        </w:rPr>
      </w:pPr>
      <w:r>
        <w:rPr>
          <w:rFonts w:cs="Arial"/>
          <w:color w:val="000000" w:themeColor="text1"/>
          <w:sz w:val="20"/>
          <w:szCs w:val="20"/>
        </w:rPr>
        <w:t>Fonte: Autor próprio (2023).</w:t>
      </w:r>
    </w:p>
    <w:p>
      <w:pPr>
        <w:pStyle w:val="EstiloLegenda"/>
        <w:rPr/>
      </w:pPr>
      <w:bookmarkStart w:id="203" w:name="_Toc153611338"/>
      <w:bookmarkStart w:id="204" w:name="_Ref148635671"/>
      <w:r>
        <w:rPr/>
        <w:t xml:space="preserve">Figura </w:t>
      </w:r>
      <w:r>
        <w:rPr/>
        <w:fldChar w:fldCharType="begin"/>
      </w:r>
      <w:r>
        <w:rPr/>
        <w:instrText> SEQ Figura \* ARABIC </w:instrText>
      </w:r>
      <w:r>
        <w:rPr/>
        <w:fldChar w:fldCharType="separate"/>
      </w:r>
      <w:r>
        <w:rPr/>
        <w:t>55</w:t>
      </w:r>
      <w:r>
        <w:rPr/>
        <w:fldChar w:fldCharType="end"/>
      </w:r>
      <w:bookmarkEnd w:id="204"/>
      <w:r>
        <w:rPr/>
        <w:t xml:space="preserve"> - Programa de Gerenciamento de Riscos - Obra C.</w:t>
      </w:r>
      <w:bookmarkEnd w:id="203"/>
    </w:p>
    <w:p>
      <w:pPr>
        <w:pStyle w:val="ListParagraph"/>
        <w:jc w:val="center"/>
        <w:rPr/>
      </w:pPr>
      <w:r>
        <w:rPr/>
        <w:drawing>
          <wp:inline distT="0" distB="0" distL="0" distR="0">
            <wp:extent cx="4330700" cy="4410710"/>
            <wp:effectExtent l="0" t="0" r="0" b="0"/>
            <wp:docPr id="66" name="Imagem 2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m 25" descr=""/>
                    <pic:cNvPicPr>
                      <a:picLocks noChangeAspect="1" noChangeArrowheads="1"/>
                    </pic:cNvPicPr>
                  </pic:nvPicPr>
                  <pic:blipFill>
                    <a:blip r:embed="rId67"/>
                    <a:stretch>
                      <a:fillRect/>
                    </a:stretch>
                  </pic:blipFill>
                  <pic:spPr bwMode="auto">
                    <a:xfrm>
                      <a:off x="0" y="0"/>
                      <a:ext cx="4330700" cy="4410710"/>
                    </a:xfrm>
                    <a:prstGeom prst="rect">
                      <a:avLst/>
                    </a:prstGeom>
                  </pic:spPr>
                </pic:pic>
              </a:graphicData>
            </a:graphic>
          </wp:inline>
        </w:drawing>
      </w:r>
    </w:p>
    <w:p>
      <w:pPr>
        <w:pStyle w:val="ListParagraph"/>
        <w:ind w:hanging="0"/>
        <w:jc w:val="center"/>
        <w:rPr>
          <w:rFonts w:cs="Arial"/>
          <w:color w:val="000000" w:themeColor="text1"/>
          <w:sz w:val="20"/>
          <w:szCs w:val="20"/>
        </w:rPr>
      </w:pPr>
      <w:r>
        <w:rPr>
          <w:rFonts w:cs="Arial"/>
          <w:color w:val="000000" w:themeColor="text1"/>
          <w:sz w:val="20"/>
          <w:szCs w:val="20"/>
        </w:rPr>
        <w:t>Fonte: Autor próprio (2023).</w:t>
      </w:r>
    </w:p>
    <w:p>
      <w:pPr>
        <w:pStyle w:val="ListParagraph"/>
        <w:ind w:hanging="0"/>
        <w:jc w:val="center"/>
        <w:rPr>
          <w:rFonts w:cs="Arial"/>
          <w:color w:val="000000" w:themeColor="text1"/>
          <w:sz w:val="20"/>
          <w:szCs w:val="20"/>
        </w:rPr>
      </w:pPr>
      <w:r>
        <w:rPr>
          <w:rFonts w:cs="Arial"/>
          <w:color w:val="000000" w:themeColor="text1"/>
          <w:sz w:val="20"/>
          <w:szCs w:val="20"/>
        </w:rPr>
      </w:r>
    </w:p>
    <w:p>
      <w:pPr>
        <w:pStyle w:val="ListParagraph"/>
        <w:rPr/>
      </w:pPr>
      <w:r>
        <w:rPr/>
        <w:t xml:space="preserve">Em relação ao Plano de Gerenciamento de Riscos (PGR), é importante destacar que a Obra C, assim como as obras A e B, está devidamente alinhada com a elaboração do PGR. A </w:t>
      </w:r>
      <w:r>
        <w:rPr/>
        <w:fldChar w:fldCharType="begin"/>
      </w:r>
      <w:r>
        <w:rPr/>
        <w:instrText> REF _Ref148635671 \h </w:instrText>
      </w:r>
      <w:r>
        <w:rPr/>
        <w:fldChar w:fldCharType="separate"/>
      </w:r>
      <w:r>
        <w:rPr/>
        <w:t>Figura 55</w:t>
      </w:r>
      <w:r>
        <w:rPr/>
        <w:fldChar w:fldCharType="end"/>
      </w:r>
      <w:r>
        <w:rPr/>
        <w:t xml:space="preserve"> ilustra a capa do PGR desenvolvido por um profissional legalmente habilitado em segurança do trabalho, em que são indicados: i) o nome do empreendimento, ii) o número de Cadastro Nacional da Pessoa Jurídica (CNPJ) e iii) o título da obra. Entretanto, é válido salientar que, por razões mencionadas anteriormente, a identificação específica da obra foi omitida</w:t>
      </w:r>
    </w:p>
    <w:p>
      <w:pPr>
        <w:pStyle w:val="ListParagraph"/>
        <w:rPr/>
      </w:pPr>
      <w:r>
        <w:rPr/>
        <w:t xml:space="preserve">No que diz respeito à área de convivência, a Obra C apresenta um dimensionamento apropriado, proporcionando condições de conforto e higiene que atendem a critérios satisfatórios. Isso é claramente ilustrado na </w:t>
      </w:r>
      <w:r>
        <w:rPr/>
        <w:fldChar w:fldCharType="begin"/>
      </w:r>
      <w:r>
        <w:rPr/>
        <w:instrText> REF _Ref148085548 \h </w:instrText>
      </w:r>
      <w:r>
        <w:rPr/>
        <w:fldChar w:fldCharType="separate"/>
      </w:r>
      <w:r>
        <w:rPr/>
        <w:t>Figura 56</w:t>
      </w:r>
      <w:r>
        <w:rPr/>
        <w:fldChar w:fldCharType="end"/>
      </w:r>
      <w:r>
        <w:rPr/>
        <w:t>, que exibe o refeitório da obra. Nesse sentido, ao observar a imagem, é possível notar que o ambiente se encontra em perfeitas condições de limpeza, oferece cobertura e proteção contra as intempéries e disponibiliza mesas e bancos em quantidade adequada para atender às necessidades atuais dos colaboradores.</w:t>
      </w:r>
    </w:p>
    <w:p>
      <w:pPr>
        <w:pStyle w:val="EstiloLegenda"/>
        <w:rPr/>
      </w:pPr>
      <w:bookmarkStart w:id="205" w:name="_Toc153611339"/>
      <w:bookmarkStart w:id="206" w:name="_Ref148085548"/>
      <w:r>
        <w:rPr/>
        <w:t xml:space="preserve">Figura </w:t>
      </w:r>
      <w:r>
        <w:rPr/>
        <w:fldChar w:fldCharType="begin"/>
      </w:r>
      <w:r>
        <w:rPr/>
        <w:instrText> SEQ Figura \* ARABIC </w:instrText>
      </w:r>
      <w:r>
        <w:rPr/>
        <w:fldChar w:fldCharType="separate"/>
      </w:r>
      <w:r>
        <w:rPr/>
        <w:t>56</w:t>
      </w:r>
      <w:r>
        <w:rPr/>
        <w:fldChar w:fldCharType="end"/>
      </w:r>
      <w:bookmarkEnd w:id="206"/>
      <w:r>
        <w:rPr/>
        <w:t xml:space="preserve"> - Refeitório - Obra C.</w:t>
      </w:r>
      <w:bookmarkEnd w:id="205"/>
    </w:p>
    <w:p>
      <w:pPr>
        <w:pStyle w:val="ListParagraph"/>
        <w:ind w:hanging="0"/>
        <w:jc w:val="center"/>
        <w:rPr/>
      </w:pPr>
      <w:r>
        <w:rPr/>
        <w:drawing>
          <wp:inline distT="0" distB="0" distL="0" distR="0">
            <wp:extent cx="4330700" cy="3121660"/>
            <wp:effectExtent l="0" t="0" r="0" b="0"/>
            <wp:docPr id="67" name="Imagem 2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Imagem 26" descr=""/>
                    <pic:cNvPicPr>
                      <a:picLocks noChangeAspect="1" noChangeArrowheads="1"/>
                    </pic:cNvPicPr>
                  </pic:nvPicPr>
                  <pic:blipFill>
                    <a:blip r:embed="rId68"/>
                    <a:stretch>
                      <a:fillRect/>
                    </a:stretch>
                  </pic:blipFill>
                  <pic:spPr bwMode="auto">
                    <a:xfrm>
                      <a:off x="0" y="0"/>
                      <a:ext cx="4330700" cy="3121660"/>
                    </a:xfrm>
                    <a:prstGeom prst="rect">
                      <a:avLst/>
                    </a:prstGeom>
                  </pic:spPr>
                </pic:pic>
              </a:graphicData>
            </a:graphic>
          </wp:inline>
        </w:drawing>
      </w:r>
    </w:p>
    <w:p>
      <w:pPr>
        <w:pStyle w:val="ListParagraph"/>
        <w:ind w:hanging="0"/>
        <w:jc w:val="center"/>
        <w:rPr>
          <w:rFonts w:cs="Arial"/>
          <w:color w:val="000000" w:themeColor="text1"/>
          <w:sz w:val="20"/>
          <w:szCs w:val="20"/>
        </w:rPr>
      </w:pPr>
      <w:r>
        <w:rPr>
          <w:rFonts w:cs="Arial"/>
          <w:color w:val="000000" w:themeColor="text1"/>
          <w:sz w:val="20"/>
          <w:szCs w:val="20"/>
        </w:rPr>
        <w:t>Fonte: Autor próprio (2023).</w:t>
      </w:r>
    </w:p>
    <w:p>
      <w:pPr>
        <w:pStyle w:val="Normal"/>
        <w:rPr/>
      </w:pPr>
      <w:r>
        <w:rPr/>
      </w:r>
    </w:p>
    <w:p>
      <w:pPr>
        <w:pStyle w:val="ListParagraph"/>
        <w:rPr/>
      </w:pPr>
      <w:r>
        <w:rPr/>
        <w:t xml:space="preserve">Ainda sobre área de vivência, no que diz respeito aos locais com instalações sanitárias, a Obra C está de acordo com as diretrizes da NR-18 em termos de dimensionamento. A </w:t>
      </w:r>
      <w:r>
        <w:rPr/>
        <w:fldChar w:fldCharType="begin"/>
      </w:r>
      <w:r>
        <w:rPr/>
        <w:instrText> REF _Ref148201087 \h </w:instrText>
      </w:r>
      <w:r>
        <w:rPr/>
        <w:fldChar w:fldCharType="separate"/>
      </w:r>
      <w:r>
        <w:rPr/>
        <w:t>Figura 57</w:t>
      </w:r>
      <w:r>
        <w:rPr/>
        <w:fldChar w:fldCharType="end"/>
      </w:r>
      <w:r>
        <w:rPr/>
        <w:t xml:space="preserve"> fornece uma visão geral do banheiro, onde estão localizadas as bacias sanitárias. A </w:t>
      </w:r>
      <w:r>
        <w:rPr/>
        <w:fldChar w:fldCharType="begin"/>
      </w:r>
      <w:r>
        <w:rPr/>
        <w:instrText> REF _Ref148201096 \h </w:instrText>
      </w:r>
      <w:r>
        <w:rPr/>
        <w:fldChar w:fldCharType="separate"/>
      </w:r>
      <w:r>
        <w:rPr/>
        <w:t>Figura 58</w:t>
      </w:r>
      <w:r>
        <w:rPr/>
        <w:fldChar w:fldCharType="end"/>
      </w:r>
      <w:r>
        <w:rPr/>
        <w:t xml:space="preserve"> apresenta o modelo das bacias sanitárias, mostrando claramente que estas são equipadas com assentos e tampas.</w:t>
      </w:r>
    </w:p>
    <w:p>
      <w:pPr>
        <w:pStyle w:val="ListParagraph"/>
        <w:rPr/>
      </w:pPr>
      <w:r>
        <w:rPr/>
      </w:r>
    </w:p>
    <w:p>
      <w:pPr>
        <w:pStyle w:val="EstiloLegenda"/>
        <w:rPr/>
      </w:pPr>
      <w:bookmarkStart w:id="207" w:name="_Toc153611340"/>
      <w:bookmarkStart w:id="208" w:name="_Ref148201087"/>
      <w:r>
        <w:rPr/>
        <w:t xml:space="preserve">Figura </w:t>
      </w:r>
      <w:r>
        <w:rPr/>
        <w:fldChar w:fldCharType="begin"/>
      </w:r>
      <w:r>
        <w:rPr/>
        <w:instrText> SEQ Figura \* ARABIC </w:instrText>
      </w:r>
      <w:r>
        <w:rPr/>
        <w:fldChar w:fldCharType="separate"/>
      </w:r>
      <w:r>
        <w:rPr/>
        <w:t>57</w:t>
      </w:r>
      <w:r>
        <w:rPr/>
        <w:fldChar w:fldCharType="end"/>
      </w:r>
      <w:bookmarkEnd w:id="208"/>
      <w:r>
        <w:rPr/>
        <w:t xml:space="preserve"> - Vista geral - sanitários da Obra C.</w:t>
      </w:r>
      <w:bookmarkEnd w:id="207"/>
    </w:p>
    <w:p>
      <w:pPr>
        <w:pStyle w:val="ListParagraph"/>
        <w:ind w:hanging="0"/>
        <w:jc w:val="center"/>
        <w:rPr/>
      </w:pPr>
      <w:r>
        <w:rPr/>
        <w:drawing>
          <wp:inline distT="0" distB="0" distL="0" distR="0">
            <wp:extent cx="4330700" cy="3092450"/>
            <wp:effectExtent l="0" t="0" r="0" b="0"/>
            <wp:docPr id="68" name="Figura2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Figura28" descr=""/>
                    <pic:cNvPicPr>
                      <a:picLocks noChangeAspect="1" noChangeArrowheads="1"/>
                    </pic:cNvPicPr>
                  </pic:nvPicPr>
                  <pic:blipFill>
                    <a:blip r:embed="rId69"/>
                    <a:stretch>
                      <a:fillRect/>
                    </a:stretch>
                  </pic:blipFill>
                  <pic:spPr bwMode="auto">
                    <a:xfrm>
                      <a:off x="0" y="0"/>
                      <a:ext cx="4330700" cy="3092450"/>
                    </a:xfrm>
                    <a:prstGeom prst="rect">
                      <a:avLst/>
                    </a:prstGeom>
                  </pic:spPr>
                </pic:pic>
              </a:graphicData>
            </a:graphic>
          </wp:inline>
        </w:drawing>
      </w:r>
    </w:p>
    <w:p>
      <w:pPr>
        <w:pStyle w:val="ListParagraph"/>
        <w:ind w:hanging="0"/>
        <w:jc w:val="center"/>
        <w:rPr>
          <w:rFonts w:cs="Arial"/>
          <w:color w:val="000000" w:themeColor="text1"/>
          <w:sz w:val="20"/>
          <w:szCs w:val="20"/>
        </w:rPr>
      </w:pPr>
      <w:r>
        <w:rPr>
          <w:rFonts w:cs="Arial"/>
          <w:color w:val="000000" w:themeColor="text1"/>
          <w:sz w:val="20"/>
          <w:szCs w:val="20"/>
        </w:rPr>
        <w:t>Fonte: Autor próprio (2023).</w:t>
      </w:r>
    </w:p>
    <w:p>
      <w:pPr>
        <w:pStyle w:val="EstiloLegenda"/>
        <w:rPr/>
      </w:pPr>
      <w:bookmarkStart w:id="209" w:name="_Toc153611341"/>
      <w:bookmarkStart w:id="210" w:name="_Ref148201096"/>
      <w:r>
        <w:rPr/>
        <w:t xml:space="preserve">Figura </w:t>
      </w:r>
      <w:r>
        <w:rPr/>
        <w:fldChar w:fldCharType="begin"/>
      </w:r>
      <w:r>
        <w:rPr/>
        <w:instrText> SEQ Figura \* ARABIC </w:instrText>
      </w:r>
      <w:r>
        <w:rPr/>
        <w:fldChar w:fldCharType="separate"/>
      </w:r>
      <w:r>
        <w:rPr/>
        <w:t>58</w:t>
      </w:r>
      <w:r>
        <w:rPr/>
        <w:fldChar w:fldCharType="end"/>
      </w:r>
      <w:bookmarkEnd w:id="210"/>
      <w:r>
        <w:rPr/>
        <w:t xml:space="preserve"> - Bacia sanitária com assento com tampa da Obra C.</w:t>
      </w:r>
      <w:bookmarkEnd w:id="209"/>
    </w:p>
    <w:p>
      <w:pPr>
        <w:pStyle w:val="ListParagraph"/>
        <w:ind w:hanging="0"/>
        <w:jc w:val="center"/>
        <w:rPr/>
      </w:pPr>
      <w:r>
        <w:rPr/>
        <w:drawing>
          <wp:inline distT="0" distB="0" distL="0" distR="0">
            <wp:extent cx="4330700" cy="2855595"/>
            <wp:effectExtent l="0" t="0" r="0" b="0"/>
            <wp:docPr id="69" name="Figura2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Figura29" descr=""/>
                    <pic:cNvPicPr>
                      <a:picLocks noChangeAspect="1" noChangeArrowheads="1"/>
                    </pic:cNvPicPr>
                  </pic:nvPicPr>
                  <pic:blipFill>
                    <a:blip r:embed="rId70"/>
                    <a:stretch>
                      <a:fillRect/>
                    </a:stretch>
                  </pic:blipFill>
                  <pic:spPr bwMode="auto">
                    <a:xfrm>
                      <a:off x="0" y="0"/>
                      <a:ext cx="4330700" cy="2855595"/>
                    </a:xfrm>
                    <a:prstGeom prst="rect">
                      <a:avLst/>
                    </a:prstGeom>
                  </pic:spPr>
                </pic:pic>
              </a:graphicData>
            </a:graphic>
          </wp:inline>
        </w:drawing>
      </w:r>
    </w:p>
    <w:p>
      <w:pPr>
        <w:pStyle w:val="ListParagraph"/>
        <w:ind w:hanging="0"/>
        <w:jc w:val="center"/>
        <w:rPr>
          <w:rFonts w:cs="Arial"/>
          <w:color w:val="000000" w:themeColor="text1"/>
          <w:sz w:val="20"/>
          <w:szCs w:val="20"/>
        </w:rPr>
      </w:pPr>
      <w:r>
        <w:rPr>
          <w:rFonts w:cs="Arial"/>
          <w:color w:val="000000" w:themeColor="text1"/>
          <w:sz w:val="20"/>
          <w:szCs w:val="20"/>
        </w:rPr>
        <w:t>Fonte: Autor próprio (2023).</w:t>
      </w:r>
    </w:p>
    <w:p>
      <w:pPr>
        <w:pStyle w:val="Normal"/>
        <w:rPr>
          <w:rFonts w:cs="Arial"/>
          <w:color w:val="000000" w:themeColor="text1"/>
          <w:sz w:val="20"/>
          <w:szCs w:val="20"/>
        </w:rPr>
      </w:pPr>
      <w:r>
        <w:rPr>
          <w:rFonts w:cs="Arial"/>
          <w:color w:val="000000" w:themeColor="text1"/>
          <w:sz w:val="20"/>
          <w:szCs w:val="20"/>
        </w:rPr>
      </w:r>
    </w:p>
    <w:p>
      <w:pPr>
        <w:pStyle w:val="ListParagraph"/>
        <w:ind w:firstLine="708"/>
        <w:rPr/>
      </w:pPr>
      <w:r>
        <w:rPr/>
        <w:t xml:space="preserve">Quanto à quantidade de chuveiros, é importante destacar que a quantidade atual está de acordo com as diretrizes estabelecidas pela NR-18. A </w:t>
      </w:r>
      <w:r>
        <w:rPr/>
        <w:fldChar w:fldCharType="begin"/>
      </w:r>
      <w:r>
        <w:rPr/>
        <w:instrText> REF _Ref148276945 \h </w:instrText>
      </w:r>
      <w:r>
        <w:rPr/>
        <w:fldChar w:fldCharType="separate"/>
      </w:r>
      <w:r>
        <w:rPr/>
        <w:t>Figura 59</w:t>
      </w:r>
      <w:r>
        <w:rPr/>
        <w:fldChar w:fldCharType="end"/>
      </w:r>
      <w:r>
        <w:rPr/>
        <w:t xml:space="preserve"> fornece uma visão geral dos locais onde os chuveiros estão localizados, e na </w:t>
      </w:r>
      <w:r>
        <w:rPr/>
        <w:fldChar w:fldCharType="begin"/>
      </w:r>
      <w:r>
        <w:rPr/>
        <w:instrText> REF _Ref148276956 \h </w:instrText>
      </w:r>
      <w:r>
        <w:rPr/>
        <w:fldChar w:fldCharType="separate"/>
      </w:r>
      <w:r>
        <w:rPr/>
        <w:t>Figura 60</w:t>
      </w:r>
      <w:r>
        <w:rPr/>
        <w:fldChar w:fldCharType="end"/>
      </w:r>
      <w:r>
        <w:rPr/>
        <w:t>, é possível ver os chuveiros elétricos que foram instalados e estão disponíveis para os colaboradores da Obra C.</w:t>
      </w:r>
    </w:p>
    <w:p>
      <w:pPr>
        <w:pStyle w:val="ListParagraph"/>
        <w:ind w:firstLine="708"/>
        <w:rPr/>
      </w:pPr>
      <w:r>
        <w:rPr/>
      </w:r>
    </w:p>
    <w:p>
      <w:pPr>
        <w:pStyle w:val="EstiloLegenda"/>
        <w:rPr/>
      </w:pPr>
      <w:bookmarkStart w:id="211" w:name="_Toc153611342"/>
      <w:bookmarkStart w:id="212" w:name="_Ref148276945"/>
      <w:r>
        <w:rPr/>
        <w:t xml:space="preserve">Figura </w:t>
      </w:r>
      <w:r>
        <w:rPr/>
        <w:fldChar w:fldCharType="begin"/>
      </w:r>
      <w:r>
        <w:rPr/>
        <w:instrText> SEQ Figura \* ARABIC </w:instrText>
      </w:r>
      <w:r>
        <w:rPr/>
        <w:fldChar w:fldCharType="separate"/>
      </w:r>
      <w:r>
        <w:rPr/>
        <w:t>59</w:t>
      </w:r>
      <w:r>
        <w:rPr/>
        <w:fldChar w:fldCharType="end"/>
      </w:r>
      <w:bookmarkEnd w:id="212"/>
      <w:r>
        <w:rPr/>
        <w:t xml:space="preserve"> - Vista geral dos chuveiros - Obra C.</w:t>
      </w:r>
      <w:bookmarkEnd w:id="211"/>
    </w:p>
    <w:p>
      <w:pPr>
        <w:pStyle w:val="ListParagraph"/>
        <w:ind w:hanging="0"/>
        <w:jc w:val="center"/>
        <w:rPr/>
      </w:pPr>
      <w:r>
        <w:rPr/>
        <w:drawing>
          <wp:inline distT="0" distB="0" distL="0" distR="0">
            <wp:extent cx="4500245" cy="3330575"/>
            <wp:effectExtent l="0" t="0" r="0" b="0"/>
            <wp:docPr id="70" name="Figura3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Figura30" descr=""/>
                    <pic:cNvPicPr>
                      <a:picLocks noChangeAspect="1" noChangeArrowheads="1"/>
                    </pic:cNvPicPr>
                  </pic:nvPicPr>
                  <pic:blipFill>
                    <a:blip r:embed="rId71"/>
                    <a:stretch>
                      <a:fillRect/>
                    </a:stretch>
                  </pic:blipFill>
                  <pic:spPr bwMode="auto">
                    <a:xfrm>
                      <a:off x="0" y="0"/>
                      <a:ext cx="4500245" cy="3330575"/>
                    </a:xfrm>
                    <a:prstGeom prst="rect">
                      <a:avLst/>
                    </a:prstGeom>
                  </pic:spPr>
                </pic:pic>
              </a:graphicData>
            </a:graphic>
          </wp:inline>
        </w:drawing>
      </w:r>
    </w:p>
    <w:p>
      <w:pPr>
        <w:pStyle w:val="ListParagraph"/>
        <w:ind w:hanging="0"/>
        <w:jc w:val="center"/>
        <w:rPr>
          <w:rFonts w:cs="Arial"/>
          <w:color w:val="000000" w:themeColor="text1"/>
          <w:sz w:val="20"/>
          <w:szCs w:val="20"/>
        </w:rPr>
      </w:pPr>
      <w:r>
        <w:rPr>
          <w:rFonts w:cs="Arial"/>
          <w:color w:val="000000" w:themeColor="text1"/>
          <w:sz w:val="20"/>
          <w:szCs w:val="20"/>
        </w:rPr>
        <w:t>Fonte: Autor próprio (2023).</w:t>
      </w:r>
    </w:p>
    <w:p>
      <w:pPr>
        <w:pStyle w:val="EstiloLegenda"/>
        <w:rPr/>
      </w:pPr>
      <w:bookmarkStart w:id="213" w:name="_Toc153611343"/>
      <w:bookmarkStart w:id="214" w:name="_Ref148276956"/>
      <w:r>
        <w:rPr/>
        <w:t xml:space="preserve">Figura </w:t>
      </w:r>
      <w:r>
        <w:rPr/>
        <w:fldChar w:fldCharType="begin"/>
      </w:r>
      <w:r>
        <w:rPr/>
        <w:instrText> SEQ Figura \* ARABIC </w:instrText>
      </w:r>
      <w:r>
        <w:rPr/>
        <w:fldChar w:fldCharType="separate"/>
      </w:r>
      <w:r>
        <w:rPr/>
        <w:t>60</w:t>
      </w:r>
      <w:r>
        <w:rPr/>
        <w:fldChar w:fldCharType="end"/>
      </w:r>
      <w:bookmarkEnd w:id="214"/>
      <w:r>
        <w:rPr/>
        <w:t xml:space="preserve"> - Chuveiro elétrico - Obra C.</w:t>
      </w:r>
      <w:bookmarkEnd w:id="213"/>
    </w:p>
    <w:p>
      <w:pPr>
        <w:pStyle w:val="ListParagraph"/>
        <w:ind w:hanging="0"/>
        <w:jc w:val="center"/>
        <w:rPr/>
      </w:pPr>
      <w:r>
        <w:rPr/>
        <w:drawing>
          <wp:inline distT="0" distB="0" distL="0" distR="0">
            <wp:extent cx="4690745" cy="2927985"/>
            <wp:effectExtent l="0" t="0" r="0" b="0"/>
            <wp:docPr id="71" name="Figura3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Figura31" descr=""/>
                    <pic:cNvPicPr>
                      <a:picLocks noChangeAspect="1" noChangeArrowheads="1"/>
                    </pic:cNvPicPr>
                  </pic:nvPicPr>
                  <pic:blipFill>
                    <a:blip r:embed="rId72"/>
                    <a:stretch>
                      <a:fillRect/>
                    </a:stretch>
                  </pic:blipFill>
                  <pic:spPr bwMode="auto">
                    <a:xfrm>
                      <a:off x="0" y="0"/>
                      <a:ext cx="4690745" cy="2927985"/>
                    </a:xfrm>
                    <a:prstGeom prst="rect">
                      <a:avLst/>
                    </a:prstGeom>
                  </pic:spPr>
                </pic:pic>
              </a:graphicData>
            </a:graphic>
          </wp:inline>
        </w:drawing>
      </w:r>
    </w:p>
    <w:p>
      <w:pPr>
        <w:pStyle w:val="ListParagraph"/>
        <w:ind w:hanging="0"/>
        <w:jc w:val="center"/>
        <w:rPr>
          <w:rFonts w:cs="Arial"/>
          <w:color w:val="000000" w:themeColor="text1"/>
          <w:sz w:val="20"/>
          <w:szCs w:val="20"/>
        </w:rPr>
      </w:pPr>
      <w:r>
        <w:rPr>
          <w:rFonts w:cs="Arial"/>
          <w:color w:val="000000" w:themeColor="text1"/>
          <w:sz w:val="20"/>
          <w:szCs w:val="20"/>
        </w:rPr>
        <w:t>Fonte: Autor próprio (2023).</w:t>
      </w:r>
    </w:p>
    <w:p>
      <w:pPr>
        <w:pStyle w:val="ListParagraph"/>
        <w:ind w:hanging="0"/>
        <w:jc w:val="center"/>
        <w:rPr>
          <w:rFonts w:cs="Arial"/>
          <w:color w:val="000000" w:themeColor="text1"/>
          <w:sz w:val="20"/>
          <w:szCs w:val="20"/>
        </w:rPr>
      </w:pPr>
      <w:r>
        <w:rPr>
          <w:rFonts w:cs="Arial"/>
          <w:color w:val="000000" w:themeColor="text1"/>
          <w:sz w:val="20"/>
          <w:szCs w:val="20"/>
        </w:rPr>
      </w:r>
    </w:p>
    <w:p>
      <w:pPr>
        <w:pStyle w:val="ListParagraph"/>
        <w:rPr/>
      </w:pPr>
      <w:r>
        <w:rPr/>
        <w:t xml:space="preserve">Na </w:t>
      </w:r>
      <w:r>
        <w:rPr/>
        <w:fldChar w:fldCharType="begin"/>
      </w:r>
      <w:r>
        <w:rPr/>
        <w:instrText> REF _Ref148278958 \h </w:instrText>
      </w:r>
      <w:r>
        <w:rPr/>
        <w:fldChar w:fldCharType="separate"/>
      </w:r>
      <w:r>
        <w:rPr/>
        <w:t>Figura 61</w:t>
      </w:r>
      <w:r>
        <w:rPr/>
        <w:fldChar w:fldCharType="end"/>
      </w:r>
      <w:r>
        <w:rPr/>
        <w:t>, apresenta-se um dos vestiários da Obra C, onde existem dois vestiários. É possível observar que os armários dos colaboradores estão devidamente fechados, com seus objetos pessoais guardados e trancados.</w:t>
      </w:r>
    </w:p>
    <w:p>
      <w:pPr>
        <w:pStyle w:val="Normal"/>
        <w:rPr/>
      </w:pPr>
      <w:r>
        <w:rPr/>
      </w:r>
    </w:p>
    <w:p>
      <w:pPr>
        <w:pStyle w:val="EstiloLegenda"/>
        <w:rPr/>
      </w:pPr>
      <w:bookmarkStart w:id="215" w:name="_Toc153611344"/>
      <w:bookmarkStart w:id="216" w:name="_Ref148278958"/>
      <w:r>
        <w:rPr/>
        <w:t xml:space="preserve">Figura </w:t>
      </w:r>
      <w:r>
        <w:rPr/>
        <w:fldChar w:fldCharType="begin"/>
      </w:r>
      <w:r>
        <w:rPr/>
        <w:instrText> SEQ Figura \* ARABIC </w:instrText>
      </w:r>
      <w:r>
        <w:rPr/>
        <w:fldChar w:fldCharType="separate"/>
      </w:r>
      <w:r>
        <w:rPr/>
        <w:t>61</w:t>
      </w:r>
      <w:r>
        <w:rPr/>
        <w:fldChar w:fldCharType="end"/>
      </w:r>
      <w:bookmarkEnd w:id="216"/>
      <w:r>
        <w:rPr/>
        <w:t xml:space="preserve"> -Vestiário - Obra C.</w:t>
      </w:r>
      <w:bookmarkEnd w:id="215"/>
    </w:p>
    <w:p>
      <w:pPr>
        <w:pStyle w:val="ListParagraph"/>
        <w:ind w:hanging="0"/>
        <w:jc w:val="center"/>
        <w:rPr/>
      </w:pPr>
      <w:r>
        <w:rPr/>
        <w:drawing>
          <wp:inline distT="0" distB="0" distL="0" distR="0">
            <wp:extent cx="4690745" cy="3518535"/>
            <wp:effectExtent l="0" t="0" r="0" b="0"/>
            <wp:docPr id="72" name="Figura3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Figura32" descr=""/>
                    <pic:cNvPicPr>
                      <a:picLocks noChangeAspect="1" noChangeArrowheads="1"/>
                    </pic:cNvPicPr>
                  </pic:nvPicPr>
                  <pic:blipFill>
                    <a:blip r:embed="rId73"/>
                    <a:stretch>
                      <a:fillRect/>
                    </a:stretch>
                  </pic:blipFill>
                  <pic:spPr bwMode="auto">
                    <a:xfrm>
                      <a:off x="0" y="0"/>
                      <a:ext cx="4690745" cy="3518535"/>
                    </a:xfrm>
                    <a:prstGeom prst="rect">
                      <a:avLst/>
                    </a:prstGeom>
                  </pic:spPr>
                </pic:pic>
              </a:graphicData>
            </a:graphic>
          </wp:inline>
        </w:drawing>
      </w:r>
    </w:p>
    <w:p>
      <w:pPr>
        <w:pStyle w:val="ListParagraph"/>
        <w:ind w:hanging="0"/>
        <w:jc w:val="center"/>
        <w:rPr>
          <w:rFonts w:cs="Arial"/>
          <w:color w:val="000000" w:themeColor="text1"/>
          <w:sz w:val="20"/>
          <w:szCs w:val="20"/>
        </w:rPr>
      </w:pPr>
      <w:r>
        <w:rPr>
          <w:rFonts w:cs="Arial"/>
          <w:color w:val="000000" w:themeColor="text1"/>
          <w:sz w:val="20"/>
          <w:szCs w:val="20"/>
        </w:rPr>
        <w:t>Fonte: Autor próprio (2023).</w:t>
      </w:r>
    </w:p>
    <w:p>
      <w:pPr>
        <w:pStyle w:val="Normal"/>
        <w:rPr/>
      </w:pPr>
      <w:r>
        <w:rPr/>
      </w:r>
    </w:p>
    <w:p>
      <w:pPr>
        <w:pStyle w:val="ListParagraph"/>
        <w:rPr/>
      </w:pPr>
      <w:r>
        <w:rPr/>
        <w:t>Assim como nas obras mencionadas anteriormente, a Obra C está em conformidade com o projeto elétrico. Verifica-se que o projeto elétrico foi elaborado por um profissional devidamente habilitado. Além disso, as instalações elétricas são realizadas por trabalhadores autorizados.</w:t>
      </w:r>
    </w:p>
    <w:p>
      <w:pPr>
        <w:pStyle w:val="ListParagraph"/>
        <w:rPr/>
      </w:pPr>
      <w:r>
        <w:rPr/>
        <w:t xml:space="preserve">Também é importante destacar que as instalações elétricas na Obra C foram submetidas a verificações de aterramento, inspeções regulares e medições elétricas periódicas, com a emissão de laudos em conformidade com o que determina a NR-18. </w:t>
      </w:r>
    </w:p>
    <w:p>
      <w:pPr>
        <w:pStyle w:val="ListParagraph"/>
        <w:rPr/>
      </w:pPr>
      <w:r>
        <w:rPr/>
        <w:t xml:space="preserve">Em relação aos quadros de distribuição das instalações elétricas, constatou-se que estavam devidamente sinalizados quanto ao risco de choque elétrico, conforme mostrado na </w:t>
      </w:r>
      <w:r>
        <w:rPr/>
        <w:fldChar w:fldCharType="begin"/>
      </w:r>
      <w:r>
        <w:rPr/>
        <w:instrText> REF _Ref148379668 \h </w:instrText>
      </w:r>
      <w:r>
        <w:rPr/>
        <w:fldChar w:fldCharType="separate"/>
      </w:r>
      <w:r>
        <w:rPr/>
        <w:t>Figura 62</w:t>
      </w:r>
      <w:r>
        <w:rPr/>
        <w:fldChar w:fldCharType="end"/>
      </w:r>
      <w:r>
        <w:rPr/>
        <w:t>. Além disso, os quadros elétricos no canteiro de obras estavam com os circuitos devidamente identificados.</w:t>
      </w:r>
    </w:p>
    <w:p>
      <w:pPr>
        <w:pStyle w:val="ListParagraph"/>
        <w:rPr/>
      </w:pPr>
      <w:r>
        <w:rPr/>
      </w:r>
    </w:p>
    <w:p>
      <w:pPr>
        <w:pStyle w:val="EstiloLegenda"/>
        <w:rPr/>
      </w:pPr>
      <w:bookmarkStart w:id="217" w:name="_Toc153611345"/>
      <w:bookmarkStart w:id="218" w:name="_Ref148379668"/>
      <w:r>
        <w:rPr/>
        <w:t xml:space="preserve">Figura </w:t>
      </w:r>
      <w:r>
        <w:rPr/>
        <w:fldChar w:fldCharType="begin"/>
      </w:r>
      <w:r>
        <w:rPr/>
        <w:instrText> SEQ Figura \* ARABIC </w:instrText>
      </w:r>
      <w:r>
        <w:rPr/>
        <w:fldChar w:fldCharType="separate"/>
      </w:r>
      <w:r>
        <w:rPr/>
        <w:t>62</w:t>
      </w:r>
      <w:r>
        <w:rPr/>
        <w:fldChar w:fldCharType="end"/>
      </w:r>
      <w:bookmarkEnd w:id="218"/>
      <w:r>
        <w:rPr/>
        <w:t xml:space="preserve"> - Quadro de distribuição das instalações elétricas - Obra C.</w:t>
      </w:r>
      <w:bookmarkEnd w:id="217"/>
    </w:p>
    <w:p>
      <w:pPr>
        <w:pStyle w:val="ListParagraph"/>
        <w:ind w:hanging="0"/>
        <w:jc w:val="center"/>
        <w:rPr/>
      </w:pPr>
      <w:r>
        <w:rPr/>
        <w:drawing>
          <wp:inline distT="0" distB="0" distL="0" distR="0">
            <wp:extent cx="5050790" cy="3537585"/>
            <wp:effectExtent l="0" t="0" r="0" b="0"/>
            <wp:docPr id="73" name="Figura3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Figura33" descr=""/>
                    <pic:cNvPicPr>
                      <a:picLocks noChangeAspect="1" noChangeArrowheads="1"/>
                    </pic:cNvPicPr>
                  </pic:nvPicPr>
                  <pic:blipFill>
                    <a:blip r:embed="rId74"/>
                    <a:stretch>
                      <a:fillRect/>
                    </a:stretch>
                  </pic:blipFill>
                  <pic:spPr bwMode="auto">
                    <a:xfrm>
                      <a:off x="0" y="0"/>
                      <a:ext cx="5050790" cy="3537585"/>
                    </a:xfrm>
                    <a:prstGeom prst="rect">
                      <a:avLst/>
                    </a:prstGeom>
                  </pic:spPr>
                </pic:pic>
              </a:graphicData>
            </a:graphic>
          </wp:inline>
        </w:drawing>
      </w:r>
    </w:p>
    <w:p>
      <w:pPr>
        <w:pStyle w:val="ListParagraph"/>
        <w:ind w:hanging="0"/>
        <w:jc w:val="center"/>
        <w:rPr>
          <w:rFonts w:cs="Arial"/>
          <w:color w:val="000000" w:themeColor="text1"/>
          <w:sz w:val="20"/>
          <w:szCs w:val="20"/>
        </w:rPr>
      </w:pPr>
      <w:r>
        <w:rPr>
          <w:rFonts w:cs="Arial"/>
          <w:color w:val="000000" w:themeColor="text1"/>
          <w:sz w:val="20"/>
          <w:szCs w:val="20"/>
        </w:rPr>
        <w:t>Fonte: Autor próprio (2023).</w:t>
      </w:r>
    </w:p>
    <w:p>
      <w:pPr>
        <w:pStyle w:val="ListParagraph"/>
        <w:ind w:hanging="0"/>
        <w:jc w:val="center"/>
        <w:rPr>
          <w:rFonts w:cs="Arial"/>
          <w:color w:val="000000" w:themeColor="text1"/>
          <w:sz w:val="20"/>
          <w:szCs w:val="20"/>
        </w:rPr>
      </w:pPr>
      <w:r>
        <w:rPr>
          <w:rFonts w:cs="Arial"/>
          <w:color w:val="000000" w:themeColor="text1"/>
          <w:sz w:val="20"/>
          <w:szCs w:val="20"/>
        </w:rPr>
      </w:r>
    </w:p>
    <w:p>
      <w:pPr>
        <w:pStyle w:val="ListParagraph"/>
        <w:rPr/>
      </w:pPr>
      <w:r>
        <w:rPr/>
        <w:t xml:space="preserve">Quanto às escadas de acesso à Obra C, foi constatada a presença de uma escada, como evidenciado na </w:t>
      </w:r>
      <w:r>
        <w:rPr/>
        <w:fldChar w:fldCharType="begin"/>
      </w:r>
      <w:r>
        <w:rPr/>
        <w:instrText> REF _Ref148382293 \h </w:instrText>
      </w:r>
      <w:r>
        <w:rPr/>
        <w:fldChar w:fldCharType="separate"/>
      </w:r>
      <w:r>
        <w:rPr/>
        <w:t>Figura 63</w:t>
      </w:r>
      <w:r>
        <w:rPr/>
        <w:fldChar w:fldCharType="end"/>
      </w:r>
      <w:r>
        <w:rPr/>
        <w:t>. É importante destacar que essa escada está em conformidade, não apresentando farpas, saliências ou emendas que possam representar riscos para os trabalhadores e usuários.</w:t>
      </w:r>
    </w:p>
    <w:p>
      <w:pPr>
        <w:pStyle w:val="EstiloLegenda"/>
        <w:rPr/>
      </w:pPr>
      <w:r>
        <w:rPr/>
      </w:r>
    </w:p>
    <w:p>
      <w:pPr>
        <w:pStyle w:val="EstiloLegenda"/>
        <w:rPr/>
      </w:pPr>
      <w:bookmarkStart w:id="219" w:name="_Toc153611346"/>
      <w:bookmarkStart w:id="220" w:name="_Ref148382293"/>
      <w:r>
        <w:rPr/>
        <w:t xml:space="preserve">Figura </w:t>
      </w:r>
      <w:r>
        <w:rPr/>
        <w:fldChar w:fldCharType="begin"/>
      </w:r>
      <w:r>
        <w:rPr/>
        <w:instrText> SEQ Figura \* ARABIC </w:instrText>
      </w:r>
      <w:r>
        <w:rPr/>
        <w:fldChar w:fldCharType="separate"/>
      </w:r>
      <w:r>
        <w:rPr/>
        <w:t>63</w:t>
      </w:r>
      <w:r>
        <w:rPr/>
        <w:fldChar w:fldCharType="end"/>
      </w:r>
      <w:bookmarkEnd w:id="220"/>
      <w:r>
        <w:rPr/>
        <w:t xml:space="preserve"> - Escada de acesso ao canteiro da Obra C.</w:t>
      </w:r>
      <w:bookmarkEnd w:id="219"/>
    </w:p>
    <w:p>
      <w:pPr>
        <w:pStyle w:val="Normal"/>
        <w:jc w:val="center"/>
        <w:rPr/>
      </w:pPr>
      <w:r>
        <w:rPr/>
        <w:drawing>
          <wp:inline distT="0" distB="0" distL="0" distR="0">
            <wp:extent cx="4330700" cy="2983230"/>
            <wp:effectExtent l="0" t="0" r="0" b="0"/>
            <wp:docPr id="74" name="Figura3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Figura34" descr=""/>
                    <pic:cNvPicPr>
                      <a:picLocks noChangeAspect="1" noChangeArrowheads="1"/>
                    </pic:cNvPicPr>
                  </pic:nvPicPr>
                  <pic:blipFill>
                    <a:blip r:embed="rId75"/>
                    <a:stretch>
                      <a:fillRect/>
                    </a:stretch>
                  </pic:blipFill>
                  <pic:spPr bwMode="auto">
                    <a:xfrm>
                      <a:off x="0" y="0"/>
                      <a:ext cx="4330700" cy="2983230"/>
                    </a:xfrm>
                    <a:prstGeom prst="rect">
                      <a:avLst/>
                    </a:prstGeom>
                  </pic:spPr>
                </pic:pic>
              </a:graphicData>
            </a:graphic>
          </wp:inline>
        </w:drawing>
      </w:r>
    </w:p>
    <w:p>
      <w:pPr>
        <w:pStyle w:val="ListParagraph"/>
        <w:ind w:hanging="0"/>
        <w:jc w:val="center"/>
        <w:rPr>
          <w:rFonts w:cs="Arial"/>
          <w:color w:val="000000" w:themeColor="text1"/>
          <w:sz w:val="20"/>
          <w:szCs w:val="20"/>
        </w:rPr>
      </w:pPr>
      <w:r>
        <w:rPr>
          <w:rFonts w:cs="Arial"/>
          <w:color w:val="000000" w:themeColor="text1"/>
          <w:sz w:val="20"/>
          <w:szCs w:val="20"/>
        </w:rPr>
        <w:t>Fonte: Autor próprio (2023).</w:t>
      </w:r>
    </w:p>
    <w:p>
      <w:pPr>
        <w:pStyle w:val="ListParagraph"/>
        <w:rPr/>
      </w:pPr>
      <w:r>
        <w:rPr/>
      </w:r>
    </w:p>
    <w:p>
      <w:pPr>
        <w:pStyle w:val="ListParagraph"/>
        <w:rPr/>
      </w:pPr>
      <w:r>
        <w:rPr/>
        <w:t>Durante a inspeção realizada no canteiro de obras da Obra C, constatou-se a ausência de qualquer máquina ou equipamento, como serra circular de bancada, betoneira ou similares, que estivessem instalados no local.</w:t>
      </w:r>
    </w:p>
    <w:p>
      <w:pPr>
        <w:pStyle w:val="ListParagraph"/>
        <w:rPr/>
      </w:pPr>
      <w:r>
        <w:rPr/>
        <w:t xml:space="preserve">Da mesma forma que a Obra B, a Obra C dispõe de um canteiro de obras devidamente sinalizado, com várias placas que fornecem alertas relativos a diversos riscos presentes em diferentes áreas ao longo do canteiro. Isso pode ser observado na </w:t>
      </w:r>
      <w:r>
        <w:rPr/>
        <w:fldChar w:fldCharType="begin"/>
      </w:r>
      <w:r>
        <w:rPr/>
        <w:instrText> REF _Ref148379668 \h </w:instrText>
      </w:r>
      <w:r>
        <w:rPr/>
        <w:fldChar w:fldCharType="separate"/>
      </w:r>
      <w:r>
        <w:rPr/>
        <w:t>Figura 62</w:t>
      </w:r>
      <w:r>
        <w:rPr/>
        <w:fldChar w:fldCharType="end"/>
      </w:r>
      <w:r>
        <w:rPr/>
        <w:t xml:space="preserve">. Além disso, a </w:t>
      </w:r>
      <w:r>
        <w:rPr/>
        <w:fldChar w:fldCharType="begin"/>
      </w:r>
      <w:r>
        <w:rPr/>
        <w:instrText> REF _Ref148461175 \h </w:instrText>
      </w:r>
      <w:r>
        <w:rPr/>
        <w:fldChar w:fldCharType="separate"/>
      </w:r>
      <w:r>
        <w:rPr/>
        <w:t>Figura 64</w:t>
      </w:r>
      <w:r>
        <w:rPr/>
        <w:fldChar w:fldCharType="end"/>
      </w:r>
      <w:r>
        <w:rPr/>
        <w:t xml:space="preserve"> apresenta adicionalmente outros elementos de sinalização e avisos relevantes para a Obra C.</w:t>
      </w:r>
    </w:p>
    <w:p>
      <w:pPr>
        <w:pStyle w:val="EstiloLegenda"/>
        <w:rPr/>
      </w:pPr>
      <w:r>
        <w:rPr/>
      </w:r>
    </w:p>
    <w:p>
      <w:pPr>
        <w:pStyle w:val="EstiloLegenda"/>
        <w:rPr/>
      </w:pPr>
      <w:bookmarkStart w:id="221" w:name="_Toc153611347"/>
      <w:bookmarkStart w:id="222" w:name="_Ref148461175"/>
      <w:r>
        <w:rPr/>
        <w:t xml:space="preserve">Figura </w:t>
      </w:r>
      <w:r>
        <w:rPr/>
        <w:fldChar w:fldCharType="begin"/>
      </w:r>
      <w:r>
        <w:rPr/>
        <w:instrText> SEQ Figura \* ARABIC </w:instrText>
      </w:r>
      <w:r>
        <w:rPr/>
        <w:fldChar w:fldCharType="separate"/>
      </w:r>
      <w:r>
        <w:rPr/>
        <w:t>64</w:t>
      </w:r>
      <w:r>
        <w:rPr/>
        <w:fldChar w:fldCharType="end"/>
      </w:r>
      <w:bookmarkEnd w:id="222"/>
      <w:r>
        <w:rPr/>
        <w:t xml:space="preserve"> - Sinalização de canteiro - Obra C.</w:t>
      </w:r>
      <w:bookmarkEnd w:id="221"/>
    </w:p>
    <w:p>
      <w:pPr>
        <w:pStyle w:val="ListParagraph"/>
        <w:ind w:hanging="0"/>
        <w:jc w:val="center"/>
        <w:rPr/>
      </w:pPr>
      <w:r>
        <w:rPr/>
        <w:drawing>
          <wp:inline distT="0" distB="0" distL="0" distR="0">
            <wp:extent cx="4690745" cy="2547620"/>
            <wp:effectExtent l="0" t="0" r="0" b="0"/>
            <wp:docPr id="75" name="Imagem 3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Imagem 34" descr=""/>
                    <pic:cNvPicPr>
                      <a:picLocks noChangeAspect="1" noChangeArrowheads="1"/>
                    </pic:cNvPicPr>
                  </pic:nvPicPr>
                  <pic:blipFill>
                    <a:blip r:embed="rId76"/>
                    <a:srcRect l="0" t="7155" r="0" b="0"/>
                    <a:stretch>
                      <a:fillRect/>
                    </a:stretch>
                  </pic:blipFill>
                  <pic:spPr bwMode="auto">
                    <a:xfrm>
                      <a:off x="0" y="0"/>
                      <a:ext cx="4690745" cy="2547620"/>
                    </a:xfrm>
                    <a:prstGeom prst="rect">
                      <a:avLst/>
                    </a:prstGeom>
                    <a:ln w="9525">
                      <a:solidFill>
                        <a:srgbClr val="000000"/>
                      </a:solidFill>
                    </a:ln>
                  </pic:spPr>
                </pic:pic>
              </a:graphicData>
            </a:graphic>
          </wp:inline>
        </w:drawing>
      </w:r>
    </w:p>
    <w:p>
      <w:pPr>
        <w:pStyle w:val="ListParagraph"/>
        <w:ind w:hanging="0"/>
        <w:jc w:val="center"/>
        <w:rPr>
          <w:rFonts w:cs="Arial"/>
          <w:color w:val="000000" w:themeColor="text1"/>
          <w:sz w:val="20"/>
          <w:szCs w:val="20"/>
        </w:rPr>
      </w:pPr>
      <w:r>
        <w:rPr>
          <w:rFonts w:cs="Arial"/>
          <w:color w:val="000000" w:themeColor="text1"/>
          <w:sz w:val="20"/>
          <w:szCs w:val="20"/>
        </w:rPr>
        <w:t>Fonte: Autor próprio (2023).</w:t>
      </w:r>
    </w:p>
    <w:p>
      <w:pPr>
        <w:pStyle w:val="ListParagraph"/>
        <w:rPr/>
      </w:pPr>
      <w:r>
        <w:rPr/>
        <w:t>No que diz respeito aos treinamentos dos colaboradores, a Obra C está em conformidade com as diretrizes da NR-18. Todos os colaboradores passaram pelos treinamentos e foram realizadas avaliações para verificar o conhecimento adquirido pela equipe. Da mesma forma que nas obras anteriores, não é possível compartilhar as imagens dos certificados ou das avaliações devido à presença de informações pessoais da empresa e dos colaboradores.</w:t>
      </w:r>
    </w:p>
    <w:p>
      <w:pPr>
        <w:pStyle w:val="ListParagraph"/>
        <w:rPr/>
      </w:pPr>
      <w:r>
        <w:rPr/>
        <w:t xml:space="preserve">Como medida de prevenção contra quedas em altura, a Obra C instalou guarda-corpos de proteção em áreas com potencial para acidentes. Foi observado que os guarda-corpos instalados necessitam de manutenção, como evidenciado na </w:t>
      </w:r>
      <w:r>
        <w:rPr/>
        <w:fldChar w:fldCharType="begin"/>
      </w:r>
      <w:r>
        <w:rPr/>
        <w:instrText> REF _Ref148465013 \h </w:instrText>
      </w:r>
      <w:r>
        <w:rPr/>
        <w:fldChar w:fldCharType="separate"/>
      </w:r>
      <w:r>
        <w:rPr/>
        <w:t>Figura 65</w:t>
      </w:r>
      <w:r>
        <w:rPr/>
        <w:fldChar w:fldCharType="end"/>
      </w:r>
      <w:r>
        <w:rPr/>
        <w:t>. Foram identificas aberturas nos guarda-corpos, ausência de sinalização em alguns deles e uma falta de uniformidade de materiais, com a presença de guarda-corpos de madeira junto aos de ferro, o que pode comprometer sua eficácia.</w:t>
      </w:r>
    </w:p>
    <w:p>
      <w:pPr>
        <w:pStyle w:val="EstiloLegenda"/>
        <w:rPr/>
      </w:pPr>
      <w:r>
        <w:rPr/>
      </w:r>
    </w:p>
    <w:p>
      <w:pPr>
        <w:pStyle w:val="EstiloLegenda"/>
        <w:rPr/>
      </w:pPr>
      <w:bookmarkStart w:id="223" w:name="_Toc153611348"/>
      <w:bookmarkStart w:id="224" w:name="_Ref148465013"/>
      <w:r>
        <w:rPr/>
        <w:t xml:space="preserve">Figura </w:t>
      </w:r>
      <w:r>
        <w:rPr/>
        <w:fldChar w:fldCharType="begin"/>
      </w:r>
      <w:r>
        <w:rPr/>
        <w:instrText> SEQ Figura \* ARABIC </w:instrText>
      </w:r>
      <w:r>
        <w:rPr/>
        <w:fldChar w:fldCharType="separate"/>
      </w:r>
      <w:r>
        <w:rPr/>
        <w:t>65</w:t>
      </w:r>
      <w:r>
        <w:rPr/>
        <w:fldChar w:fldCharType="end"/>
      </w:r>
      <w:bookmarkEnd w:id="224"/>
      <w:r>
        <w:rPr/>
        <w:t xml:space="preserve"> - Instalação de guarda-corpo - Obra C.</w:t>
      </w:r>
      <w:bookmarkEnd w:id="223"/>
    </w:p>
    <w:p>
      <w:pPr>
        <w:pStyle w:val="ListParagraph"/>
        <w:ind w:hanging="0"/>
        <w:jc w:val="center"/>
        <w:rPr/>
      </w:pPr>
      <w:r>
        <w:rPr/>
        <w:drawing>
          <wp:inline distT="0" distB="0" distL="0" distR="0">
            <wp:extent cx="5039995" cy="3446145"/>
            <wp:effectExtent l="0" t="0" r="0" b="0"/>
            <wp:docPr id="76" name="Figura3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Figura35" descr=""/>
                    <pic:cNvPicPr>
                      <a:picLocks noChangeAspect="1" noChangeArrowheads="1"/>
                    </pic:cNvPicPr>
                  </pic:nvPicPr>
                  <pic:blipFill>
                    <a:blip r:embed="rId77"/>
                    <a:stretch>
                      <a:fillRect/>
                    </a:stretch>
                  </pic:blipFill>
                  <pic:spPr bwMode="auto">
                    <a:xfrm>
                      <a:off x="0" y="0"/>
                      <a:ext cx="5039995" cy="3446145"/>
                    </a:xfrm>
                    <a:prstGeom prst="rect">
                      <a:avLst/>
                    </a:prstGeom>
                  </pic:spPr>
                </pic:pic>
              </a:graphicData>
            </a:graphic>
          </wp:inline>
        </w:drawing>
      </w:r>
    </w:p>
    <w:p>
      <w:pPr>
        <w:pStyle w:val="ListParagraph"/>
        <w:ind w:hanging="0"/>
        <w:jc w:val="center"/>
        <w:rPr>
          <w:rFonts w:cs="Arial"/>
          <w:color w:val="000000" w:themeColor="text1"/>
          <w:sz w:val="20"/>
          <w:szCs w:val="20"/>
        </w:rPr>
      </w:pPr>
      <w:r>
        <w:rPr>
          <w:rFonts w:cs="Arial"/>
          <w:color w:val="000000" w:themeColor="text1"/>
          <w:sz w:val="20"/>
          <w:szCs w:val="20"/>
        </w:rPr>
        <w:t>Fonte: Autor próprio (2023)</w:t>
      </w:r>
    </w:p>
    <w:p>
      <w:pPr>
        <w:pStyle w:val="ListParagraph"/>
        <w:ind w:hanging="0"/>
        <w:jc w:val="center"/>
        <w:rPr>
          <w:rFonts w:cs="Arial"/>
          <w:color w:val="000000" w:themeColor="text1"/>
          <w:sz w:val="20"/>
          <w:szCs w:val="20"/>
        </w:rPr>
      </w:pPr>
      <w:r>
        <w:rPr>
          <w:rFonts w:cs="Arial"/>
          <w:color w:val="000000" w:themeColor="text1"/>
          <w:sz w:val="20"/>
          <w:szCs w:val="20"/>
        </w:rPr>
        <w:t>.</w:t>
      </w:r>
    </w:p>
    <w:p>
      <w:pPr>
        <w:pStyle w:val="ListParagraph"/>
        <w:rPr/>
      </w:pPr>
      <w:r>
        <w:rPr/>
        <w:t xml:space="preserve">Nesse contexto, constatou-se a presença de uma área de escavação desprovida de sinalização e medidas de proteção contra quedas em altura. Dois trabalhadores estavam realizando suas atividades nas proximidades desse local, expondo-se ao risco de queda, como demonstrado na </w:t>
      </w:r>
      <w:r>
        <w:rPr/>
        <w:fldChar w:fldCharType="begin"/>
      </w:r>
      <w:r>
        <w:rPr/>
        <w:instrText> REF _Ref148466342 \h </w:instrText>
      </w:r>
      <w:r>
        <w:rPr/>
        <w:fldChar w:fldCharType="separate"/>
      </w:r>
      <w:r>
        <w:rPr/>
        <w:t>Figura 66</w:t>
      </w:r>
      <w:r>
        <w:rPr/>
        <w:fldChar w:fldCharType="end"/>
      </w:r>
      <w:r>
        <w:rPr/>
        <w:t xml:space="preserve">. </w:t>
      </w:r>
    </w:p>
    <w:p>
      <w:pPr>
        <w:pStyle w:val="Normal"/>
        <w:rPr/>
      </w:pPr>
      <w:r>
        <w:rPr/>
      </w:r>
    </w:p>
    <w:p>
      <w:pPr>
        <w:pStyle w:val="Normal"/>
        <w:rPr/>
      </w:pPr>
      <w:r>
        <w:rPr/>
      </w:r>
    </w:p>
    <w:p>
      <w:pPr>
        <w:pStyle w:val="EstiloLegenda"/>
        <w:rPr/>
      </w:pPr>
      <w:bookmarkStart w:id="225" w:name="_Toc153611349"/>
      <w:bookmarkStart w:id="226" w:name="_Ref148466342"/>
      <w:r>
        <w:rPr/>
        <w:t xml:space="preserve">Figura </w:t>
      </w:r>
      <w:r>
        <w:rPr/>
        <w:fldChar w:fldCharType="begin"/>
      </w:r>
      <w:r>
        <w:rPr/>
        <w:instrText> SEQ Figura \* ARABIC </w:instrText>
      </w:r>
      <w:r>
        <w:rPr/>
        <w:fldChar w:fldCharType="separate"/>
      </w:r>
      <w:r>
        <w:rPr/>
        <w:t>66</w:t>
      </w:r>
      <w:r>
        <w:rPr/>
        <w:fldChar w:fldCharType="end"/>
      </w:r>
      <w:bookmarkEnd w:id="226"/>
      <w:r>
        <w:rPr/>
        <w:t xml:space="preserve"> - Ausência de guarda-corpo - Obra C.</w:t>
      </w:r>
      <w:bookmarkEnd w:id="225"/>
    </w:p>
    <w:p>
      <w:pPr>
        <w:pStyle w:val="ListParagraph"/>
        <w:ind w:hanging="0"/>
        <w:jc w:val="center"/>
        <w:rPr/>
      </w:pPr>
      <w:r>
        <w:rPr/>
        <w:drawing>
          <wp:inline distT="0" distB="0" distL="0" distR="0">
            <wp:extent cx="4690745" cy="3215005"/>
            <wp:effectExtent l="0" t="0" r="0" b="0"/>
            <wp:docPr id="77" name="Figura3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Figura36" descr=""/>
                    <pic:cNvPicPr>
                      <a:picLocks noChangeAspect="1" noChangeArrowheads="1"/>
                    </pic:cNvPicPr>
                  </pic:nvPicPr>
                  <pic:blipFill>
                    <a:blip r:embed="rId78"/>
                    <a:stretch>
                      <a:fillRect/>
                    </a:stretch>
                  </pic:blipFill>
                  <pic:spPr bwMode="auto">
                    <a:xfrm>
                      <a:off x="0" y="0"/>
                      <a:ext cx="4690745" cy="3215005"/>
                    </a:xfrm>
                    <a:prstGeom prst="rect">
                      <a:avLst/>
                    </a:prstGeom>
                  </pic:spPr>
                </pic:pic>
              </a:graphicData>
            </a:graphic>
          </wp:inline>
        </w:drawing>
      </w:r>
    </w:p>
    <w:p>
      <w:pPr>
        <w:pStyle w:val="ListParagraph"/>
        <w:ind w:hanging="0"/>
        <w:jc w:val="center"/>
        <w:rPr>
          <w:rFonts w:cs="Arial"/>
          <w:color w:val="000000" w:themeColor="text1"/>
          <w:sz w:val="20"/>
          <w:szCs w:val="20"/>
        </w:rPr>
      </w:pPr>
      <w:r>
        <w:rPr>
          <w:rFonts w:cs="Arial"/>
          <w:color w:val="000000" w:themeColor="text1"/>
          <w:sz w:val="20"/>
          <w:szCs w:val="20"/>
        </w:rPr>
        <w:t>Fonte: Autor próprio (2023).</w:t>
      </w:r>
    </w:p>
    <w:p>
      <w:pPr>
        <w:pStyle w:val="ListParagraph"/>
        <w:ind w:hanging="0"/>
        <w:jc w:val="center"/>
        <w:rPr>
          <w:rFonts w:cs="Arial"/>
          <w:color w:val="000000" w:themeColor="text1"/>
          <w:sz w:val="20"/>
          <w:szCs w:val="20"/>
        </w:rPr>
      </w:pPr>
      <w:r>
        <w:rPr>
          <w:rFonts w:cs="Arial"/>
          <w:color w:val="000000" w:themeColor="text1"/>
          <w:sz w:val="20"/>
          <w:szCs w:val="20"/>
        </w:rPr>
      </w:r>
    </w:p>
    <w:p>
      <w:pPr>
        <w:pStyle w:val="ListParagraph"/>
        <w:rPr/>
      </w:pPr>
      <w:r>
        <w:rPr>
          <w:iCs/>
        </w:rPr>
        <w:t>Ademais</w:t>
      </w:r>
      <w:r>
        <w:rPr/>
        <w:t>, foi identificado um vão onde foi perfurado um poço artesiano (</w:t>
      </w:r>
      <w:r>
        <w:rPr/>
        <w:fldChar w:fldCharType="begin"/>
      </w:r>
      <w:r>
        <w:rPr/>
        <w:instrText> REF _Ref148634948 \h </w:instrText>
      </w:r>
      <w:r>
        <w:rPr/>
        <w:fldChar w:fldCharType="separate"/>
      </w:r>
      <w:r>
        <w:rPr/>
        <w:t>Figura 67</w:t>
      </w:r>
      <w:r>
        <w:rPr/>
        <w:fldChar w:fldCharType="end"/>
      </w:r>
      <w:r>
        <w:rPr/>
        <w:t>), mas a medida de proteção adotada parece não ser confiável, pois está solta e pode representar um risco. Recomenda-se isolar a área e providenciar a devida sinalização para evitar que qualquer colaborador caminhe sobre essa região e sofra algum acidente.</w:t>
      </w:r>
    </w:p>
    <w:p>
      <w:pPr>
        <w:pStyle w:val="Normal"/>
        <w:rPr>
          <w:iCs/>
        </w:rPr>
      </w:pPr>
      <w:r>
        <w:rPr>
          <w:iCs/>
        </w:rPr>
      </w:r>
    </w:p>
    <w:p>
      <w:pPr>
        <w:pStyle w:val="EstiloLegenda"/>
        <w:rPr/>
      </w:pPr>
      <w:bookmarkStart w:id="227" w:name="_Toc153611350"/>
      <w:bookmarkStart w:id="228" w:name="_Ref148634948"/>
      <w:r>
        <w:rPr/>
        <w:t xml:space="preserve">Figura </w:t>
      </w:r>
      <w:r>
        <w:rPr/>
        <w:fldChar w:fldCharType="begin"/>
      </w:r>
      <w:r>
        <w:rPr/>
        <w:instrText> SEQ Figura \* ARABIC </w:instrText>
      </w:r>
      <w:r>
        <w:rPr/>
        <w:fldChar w:fldCharType="separate"/>
      </w:r>
      <w:r>
        <w:rPr/>
        <w:t>67</w:t>
      </w:r>
      <w:r>
        <w:rPr/>
        <w:fldChar w:fldCharType="end"/>
      </w:r>
      <w:bookmarkEnd w:id="228"/>
      <w:r>
        <w:rPr/>
        <w:t xml:space="preserve"> - Presença de abertura de piso - Obra C.</w:t>
      </w:r>
      <w:bookmarkEnd w:id="227"/>
    </w:p>
    <w:p>
      <w:pPr>
        <w:pStyle w:val="ListParagraph"/>
        <w:ind w:hanging="0"/>
        <w:jc w:val="center"/>
        <w:rPr/>
      </w:pPr>
      <w:r>
        <w:rPr/>
        <w:drawing>
          <wp:inline distT="0" distB="0" distL="0" distR="0">
            <wp:extent cx="4690745" cy="2984500"/>
            <wp:effectExtent l="0" t="0" r="0" b="0"/>
            <wp:docPr id="78" name="Figura3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Figura37" descr=""/>
                    <pic:cNvPicPr>
                      <a:picLocks noChangeAspect="1" noChangeArrowheads="1"/>
                    </pic:cNvPicPr>
                  </pic:nvPicPr>
                  <pic:blipFill>
                    <a:blip r:embed="rId79"/>
                    <a:stretch>
                      <a:fillRect/>
                    </a:stretch>
                  </pic:blipFill>
                  <pic:spPr bwMode="auto">
                    <a:xfrm>
                      <a:off x="0" y="0"/>
                      <a:ext cx="4690745" cy="2984500"/>
                    </a:xfrm>
                    <a:prstGeom prst="rect">
                      <a:avLst/>
                    </a:prstGeom>
                  </pic:spPr>
                </pic:pic>
              </a:graphicData>
            </a:graphic>
          </wp:inline>
        </w:drawing>
      </w:r>
    </w:p>
    <w:p>
      <w:pPr>
        <w:pStyle w:val="ListParagraph"/>
        <w:tabs>
          <w:tab w:val="clear" w:pos="708"/>
          <w:tab w:val="left" w:pos="567" w:leader="none"/>
          <w:tab w:val="left" w:pos="709" w:leader="none"/>
        </w:tabs>
        <w:ind w:hanging="0"/>
        <w:jc w:val="center"/>
        <w:rPr>
          <w:rFonts w:cs="Arial"/>
          <w:color w:val="000000" w:themeColor="text1"/>
          <w:sz w:val="20"/>
          <w:szCs w:val="20"/>
        </w:rPr>
      </w:pPr>
      <w:r>
        <w:rPr>
          <w:rFonts w:cs="Arial"/>
          <w:color w:val="000000" w:themeColor="text1"/>
          <w:sz w:val="20"/>
          <w:szCs w:val="20"/>
        </w:rPr>
        <w:t>Fonte: Autor próprio (2023).</w:t>
      </w:r>
    </w:p>
    <w:p>
      <w:pPr>
        <w:pStyle w:val="ListParagraph"/>
        <w:ind w:firstLine="708"/>
        <w:rPr/>
      </w:pPr>
      <w:r>
        <w:rPr/>
        <w:t xml:space="preserve">O </w:t>
      </w:r>
      <w:r>
        <w:rPr/>
        <w:fldChar w:fldCharType="begin"/>
      </w:r>
      <w:r>
        <w:rPr/>
        <w:instrText> REF _Ref148468364 \h </w:instrText>
      </w:r>
      <w:r>
        <w:rPr/>
        <w:fldChar w:fldCharType="separate"/>
      </w:r>
      <w:r>
        <w:rPr/>
        <w:t>Quadro 6</w:t>
      </w:r>
      <w:r>
        <w:rPr/>
        <w:fldChar w:fldCharType="end"/>
      </w:r>
      <w:r>
        <w:rPr/>
        <w:t xml:space="preserve"> apresenta a quantidade total de itens conformes, itens não conformes, itens parciais e itens não avaliados que foram constatados na Obra C, através do </w:t>
      </w:r>
      <w:r>
        <w:rPr>
          <w:i/>
          <w:iCs/>
        </w:rPr>
        <w:t xml:space="preserve">checklist </w:t>
      </w:r>
      <w:r>
        <w:rPr/>
        <w:t xml:space="preserve">preenchido de acordo com o </w:t>
      </w:r>
      <w:r>
        <w:rPr/>
        <w:fldChar w:fldCharType="begin"/>
      </w:r>
      <w:r>
        <w:rPr/>
        <w:instrText> REF _Ref136185560 \h </w:instrText>
      </w:r>
      <w:r>
        <w:rPr/>
        <w:fldChar w:fldCharType="separate"/>
      </w:r>
      <w:r>
        <w:rPr/>
        <w:t>Quadro 1</w:t>
      </w:r>
      <w:r>
        <w:rPr/>
        <w:fldChar w:fldCharType="end"/>
      </w:r>
      <w:r>
        <w:rPr/>
        <w:t>.</w:t>
      </w:r>
    </w:p>
    <w:p>
      <w:pPr>
        <w:pStyle w:val="EstiloLegenda"/>
        <w:rPr/>
      </w:pPr>
      <w:r>
        <w:rPr/>
      </w:r>
    </w:p>
    <w:p>
      <w:pPr>
        <w:pStyle w:val="EstiloLegenda"/>
        <w:rPr/>
      </w:pPr>
      <w:bookmarkStart w:id="229" w:name="_Toc153384329"/>
      <w:bookmarkStart w:id="230" w:name="_Ref148468364"/>
      <w:r>
        <w:rPr/>
        <w:t xml:space="preserve">Quadro </w:t>
      </w:r>
      <w:r>
        <w:rPr/>
        <w:fldChar w:fldCharType="begin"/>
      </w:r>
      <w:r>
        <w:rPr/>
        <w:instrText> SEQ Quadro \* ARABIC </w:instrText>
      </w:r>
      <w:r>
        <w:rPr/>
        <w:fldChar w:fldCharType="separate"/>
      </w:r>
      <w:r>
        <w:rPr/>
        <w:t>6</w:t>
      </w:r>
      <w:r>
        <w:rPr/>
        <w:fldChar w:fldCharType="end"/>
      </w:r>
      <w:bookmarkEnd w:id="230"/>
      <w:r>
        <w:rPr/>
        <w:t xml:space="preserve"> - Totais de itens - Obra C.</w:t>
      </w:r>
      <w:bookmarkEnd w:id="229"/>
    </w:p>
    <w:tbl>
      <w:tblPr>
        <w:tblStyle w:val="Tabelacomgrade"/>
        <w:tblW w:w="9061" w:type="dxa"/>
        <w:jc w:val="left"/>
        <w:tblInd w:w="0" w:type="dxa"/>
        <w:tblCellMar>
          <w:top w:w="0" w:type="dxa"/>
          <w:left w:w="108" w:type="dxa"/>
          <w:bottom w:w="0" w:type="dxa"/>
          <w:right w:w="108" w:type="dxa"/>
        </w:tblCellMar>
        <w:tblLook w:firstRow="1" w:noVBand="1" w:lastRow="0" w:firstColumn="1" w:lastColumn="0" w:noHBand="0" w:val="04a0"/>
      </w:tblPr>
      <w:tblGrid>
        <w:gridCol w:w="4530"/>
        <w:gridCol w:w="4530"/>
      </w:tblGrid>
      <w:tr>
        <w:trPr>
          <w:trHeight w:val="369" w:hRule="atLeast"/>
        </w:trPr>
        <w:tc>
          <w:tcPr>
            <w:tcW w:w="4530" w:type="dxa"/>
            <w:tcBorders/>
            <w:shd w:color="auto" w:fill="E7E6E6" w:themeFill="background2" w:val="clear"/>
            <w:vAlign w:val="center"/>
          </w:tcPr>
          <w:p>
            <w:pPr>
              <w:pStyle w:val="ListParagraph"/>
              <w:ind w:hanging="0"/>
              <w:jc w:val="center"/>
              <w:rPr>
                <w:b/>
                <w:b/>
                <w:bCs/>
                <w:color w:val="000000" w:themeColor="text1"/>
                <w:sz w:val="20"/>
                <w:szCs w:val="20"/>
              </w:rPr>
            </w:pPr>
            <w:r>
              <w:rPr>
                <w:b/>
                <w:bCs/>
                <w:color w:val="000000" w:themeColor="text1"/>
                <w:sz w:val="20"/>
                <w:szCs w:val="20"/>
              </w:rPr>
              <w:t xml:space="preserve">Descrição </w:t>
            </w:r>
          </w:p>
        </w:tc>
        <w:tc>
          <w:tcPr>
            <w:tcW w:w="4530" w:type="dxa"/>
            <w:tcBorders/>
            <w:shd w:color="auto" w:fill="E7E6E6" w:themeFill="background2" w:val="clear"/>
            <w:vAlign w:val="center"/>
          </w:tcPr>
          <w:p>
            <w:pPr>
              <w:pStyle w:val="ListParagraph"/>
              <w:ind w:hanging="0"/>
              <w:jc w:val="center"/>
              <w:rPr>
                <w:b/>
                <w:b/>
                <w:bCs/>
                <w:color w:val="000000" w:themeColor="text1"/>
                <w:sz w:val="20"/>
                <w:szCs w:val="20"/>
              </w:rPr>
            </w:pPr>
            <w:r>
              <w:rPr>
                <w:b/>
                <w:bCs/>
                <w:color w:val="000000" w:themeColor="text1"/>
                <w:sz w:val="20"/>
                <w:szCs w:val="20"/>
              </w:rPr>
              <w:t>Total</w:t>
            </w:r>
          </w:p>
        </w:tc>
      </w:tr>
      <w:tr>
        <w:trPr>
          <w:trHeight w:val="369" w:hRule="atLeast"/>
        </w:trPr>
        <w:tc>
          <w:tcPr>
            <w:tcW w:w="4530" w:type="dxa"/>
            <w:tcBorders/>
            <w:vAlign w:val="center"/>
          </w:tcPr>
          <w:p>
            <w:pPr>
              <w:pStyle w:val="ListParagraph"/>
              <w:ind w:hanging="0"/>
              <w:jc w:val="center"/>
              <w:rPr>
                <w:sz w:val="20"/>
                <w:szCs w:val="20"/>
              </w:rPr>
            </w:pPr>
            <w:r>
              <w:rPr>
                <w:sz w:val="20"/>
                <w:szCs w:val="20"/>
              </w:rPr>
              <w:t>Total de itens conformes</w:t>
            </w:r>
          </w:p>
        </w:tc>
        <w:tc>
          <w:tcPr>
            <w:tcW w:w="4530" w:type="dxa"/>
            <w:tcBorders/>
            <w:vAlign w:val="center"/>
          </w:tcPr>
          <w:p>
            <w:pPr>
              <w:pStyle w:val="ListParagraph"/>
              <w:ind w:hanging="0"/>
              <w:jc w:val="center"/>
              <w:rPr>
                <w:sz w:val="20"/>
                <w:szCs w:val="20"/>
              </w:rPr>
            </w:pPr>
            <w:r>
              <w:rPr>
                <w:sz w:val="20"/>
                <w:szCs w:val="20"/>
              </w:rPr>
              <w:t>32</w:t>
            </w:r>
          </w:p>
        </w:tc>
      </w:tr>
      <w:tr>
        <w:trPr>
          <w:trHeight w:val="369" w:hRule="atLeast"/>
        </w:trPr>
        <w:tc>
          <w:tcPr>
            <w:tcW w:w="4530" w:type="dxa"/>
            <w:tcBorders/>
            <w:vAlign w:val="center"/>
          </w:tcPr>
          <w:p>
            <w:pPr>
              <w:pStyle w:val="ListParagraph"/>
              <w:ind w:hanging="0"/>
              <w:jc w:val="center"/>
              <w:rPr>
                <w:sz w:val="20"/>
                <w:szCs w:val="20"/>
              </w:rPr>
            </w:pPr>
            <w:r>
              <w:rPr>
                <w:sz w:val="20"/>
                <w:szCs w:val="20"/>
              </w:rPr>
              <w:t>Total de itens não conformes</w:t>
            </w:r>
          </w:p>
        </w:tc>
        <w:tc>
          <w:tcPr>
            <w:tcW w:w="4530" w:type="dxa"/>
            <w:tcBorders/>
            <w:vAlign w:val="center"/>
          </w:tcPr>
          <w:p>
            <w:pPr>
              <w:pStyle w:val="ListParagraph"/>
              <w:ind w:hanging="0"/>
              <w:jc w:val="center"/>
              <w:rPr>
                <w:sz w:val="20"/>
                <w:szCs w:val="20"/>
              </w:rPr>
            </w:pPr>
            <w:r>
              <w:rPr>
                <w:sz w:val="20"/>
                <w:szCs w:val="20"/>
              </w:rPr>
              <w:t>1</w:t>
            </w:r>
          </w:p>
        </w:tc>
      </w:tr>
      <w:tr>
        <w:trPr>
          <w:trHeight w:val="369" w:hRule="atLeast"/>
        </w:trPr>
        <w:tc>
          <w:tcPr>
            <w:tcW w:w="4530" w:type="dxa"/>
            <w:tcBorders/>
            <w:vAlign w:val="center"/>
          </w:tcPr>
          <w:p>
            <w:pPr>
              <w:pStyle w:val="ListParagraph"/>
              <w:ind w:hanging="0"/>
              <w:jc w:val="center"/>
              <w:rPr>
                <w:sz w:val="20"/>
                <w:szCs w:val="20"/>
              </w:rPr>
            </w:pPr>
            <w:r>
              <w:rPr>
                <w:sz w:val="20"/>
                <w:szCs w:val="20"/>
              </w:rPr>
              <w:t>Total de itens parciais</w:t>
            </w:r>
          </w:p>
        </w:tc>
        <w:tc>
          <w:tcPr>
            <w:tcW w:w="4530" w:type="dxa"/>
            <w:tcBorders/>
            <w:vAlign w:val="center"/>
          </w:tcPr>
          <w:p>
            <w:pPr>
              <w:pStyle w:val="ListParagraph"/>
              <w:ind w:hanging="0"/>
              <w:jc w:val="center"/>
              <w:rPr>
                <w:sz w:val="20"/>
                <w:szCs w:val="20"/>
              </w:rPr>
            </w:pPr>
            <w:r>
              <w:rPr>
                <w:sz w:val="20"/>
                <w:szCs w:val="20"/>
              </w:rPr>
              <w:t>3</w:t>
            </w:r>
          </w:p>
        </w:tc>
      </w:tr>
      <w:tr>
        <w:trPr>
          <w:trHeight w:val="369" w:hRule="atLeast"/>
        </w:trPr>
        <w:tc>
          <w:tcPr>
            <w:tcW w:w="4530" w:type="dxa"/>
            <w:tcBorders/>
            <w:vAlign w:val="center"/>
          </w:tcPr>
          <w:p>
            <w:pPr>
              <w:pStyle w:val="ListParagraph"/>
              <w:ind w:hanging="0"/>
              <w:jc w:val="center"/>
              <w:rPr>
                <w:sz w:val="20"/>
                <w:szCs w:val="20"/>
              </w:rPr>
            </w:pPr>
            <w:r>
              <w:rPr>
                <w:sz w:val="20"/>
                <w:szCs w:val="20"/>
              </w:rPr>
              <w:t xml:space="preserve">Total de itens não avaliados </w:t>
            </w:r>
          </w:p>
        </w:tc>
        <w:tc>
          <w:tcPr>
            <w:tcW w:w="4530" w:type="dxa"/>
            <w:tcBorders/>
            <w:vAlign w:val="center"/>
          </w:tcPr>
          <w:p>
            <w:pPr>
              <w:pStyle w:val="ListParagraph"/>
              <w:ind w:hanging="0"/>
              <w:jc w:val="center"/>
              <w:rPr>
                <w:sz w:val="20"/>
                <w:szCs w:val="20"/>
              </w:rPr>
            </w:pPr>
            <w:r>
              <w:rPr>
                <w:sz w:val="20"/>
                <w:szCs w:val="20"/>
              </w:rPr>
              <w:t>3</w:t>
            </w:r>
          </w:p>
        </w:tc>
      </w:tr>
      <w:tr>
        <w:trPr>
          <w:trHeight w:val="369" w:hRule="atLeast"/>
        </w:trPr>
        <w:tc>
          <w:tcPr>
            <w:tcW w:w="4530" w:type="dxa"/>
            <w:tcBorders/>
            <w:vAlign w:val="center"/>
          </w:tcPr>
          <w:p>
            <w:pPr>
              <w:pStyle w:val="ListParagraph"/>
              <w:ind w:hanging="0"/>
              <w:jc w:val="center"/>
              <w:rPr>
                <w:rFonts w:cs="Arial"/>
                <w:color w:val="000000" w:themeColor="text1"/>
                <w:sz w:val="20"/>
                <w:szCs w:val="20"/>
              </w:rPr>
            </w:pPr>
            <w:r>
              <w:rPr>
                <w:rFonts w:cs="Arial"/>
                <w:color w:val="000000" w:themeColor="text1"/>
                <w:sz w:val="20"/>
                <w:szCs w:val="20"/>
              </w:rPr>
              <w:t>Total de itens constantes no checklist</w:t>
            </w:r>
          </w:p>
        </w:tc>
        <w:tc>
          <w:tcPr>
            <w:tcW w:w="4530" w:type="dxa"/>
            <w:tcBorders/>
            <w:vAlign w:val="center"/>
          </w:tcPr>
          <w:p>
            <w:pPr>
              <w:pStyle w:val="ListParagraph"/>
              <w:ind w:hanging="0"/>
              <w:jc w:val="center"/>
              <w:rPr>
                <w:rFonts w:cs="Arial"/>
                <w:color w:val="000000" w:themeColor="text1"/>
                <w:sz w:val="20"/>
                <w:szCs w:val="20"/>
              </w:rPr>
            </w:pPr>
            <w:r>
              <w:rPr>
                <w:rFonts w:cs="Arial"/>
                <w:color w:val="000000" w:themeColor="text1"/>
                <w:sz w:val="20"/>
                <w:szCs w:val="20"/>
              </w:rPr>
              <w:t>39</w:t>
            </w:r>
          </w:p>
        </w:tc>
      </w:tr>
    </w:tbl>
    <w:p>
      <w:pPr>
        <w:pStyle w:val="ListParagraph"/>
        <w:spacing w:before="120" w:after="0"/>
        <w:ind w:hanging="0"/>
        <w:contextualSpacing/>
        <w:jc w:val="center"/>
        <w:rPr>
          <w:rFonts w:cs="Arial"/>
          <w:color w:val="000000" w:themeColor="text1"/>
          <w:sz w:val="20"/>
          <w:szCs w:val="20"/>
        </w:rPr>
      </w:pPr>
      <w:r>
        <w:rPr>
          <w:rFonts w:cs="Arial"/>
          <w:color w:val="000000" w:themeColor="text1"/>
          <w:sz w:val="20"/>
          <w:szCs w:val="20"/>
        </w:rPr>
        <w:t>Fonte: Autor próprio (2023).</w:t>
      </w:r>
    </w:p>
    <w:p>
      <w:pPr>
        <w:pStyle w:val="ListParagraph"/>
        <w:spacing w:before="120" w:after="0"/>
        <w:ind w:hanging="0"/>
        <w:contextualSpacing/>
        <w:jc w:val="center"/>
        <w:rPr>
          <w:rFonts w:cs="Arial"/>
          <w:color w:val="000000" w:themeColor="text1"/>
          <w:sz w:val="20"/>
          <w:szCs w:val="20"/>
        </w:rPr>
      </w:pPr>
      <w:r>
        <w:rPr>
          <w:rFonts w:cs="Arial"/>
          <w:color w:val="000000" w:themeColor="text1"/>
          <w:sz w:val="20"/>
          <w:szCs w:val="20"/>
        </w:rPr>
      </w:r>
    </w:p>
    <w:p>
      <w:pPr>
        <w:pStyle w:val="ListParagraph"/>
        <w:rPr/>
      </w:pPr>
      <w:r>
        <w:rPr/>
        <w:t xml:space="preserve">Utilizando-se a Equação 1, Equação 2 e Equação 3, juntamente com os dados totais apresentados no </w:t>
      </w:r>
      <w:r>
        <w:rPr/>
        <w:fldChar w:fldCharType="begin"/>
      </w:r>
      <w:r>
        <w:rPr/>
        <w:instrText> REF _Ref148468364 \h </w:instrText>
      </w:r>
      <w:r>
        <w:rPr/>
        <w:fldChar w:fldCharType="separate"/>
      </w:r>
      <w:r>
        <w:rPr/>
        <w:t>Quadro 6</w:t>
      </w:r>
      <w:r>
        <w:rPr/>
        <w:fldChar w:fldCharType="end"/>
      </w:r>
      <w:r>
        <w:rPr/>
        <w:t xml:space="preserve">, é possível determinar a proporção de cada item em relação ao número total de itens avaliados, conforme ilustrado no </w:t>
      </w:r>
      <w:r>
        <w:rPr/>
        <w:fldChar w:fldCharType="begin"/>
      </w:r>
      <w:r>
        <w:rPr/>
        <w:instrText> REF _Ref148468569 \h </w:instrText>
      </w:r>
      <w:r>
        <w:rPr/>
        <w:fldChar w:fldCharType="separate"/>
      </w:r>
      <w:r>
        <w:rPr/>
        <w:t>Quadro 7</w:t>
      </w:r>
      <w:r>
        <w:rPr/>
        <w:fldChar w:fldCharType="end"/>
      </w:r>
      <w:r>
        <w:rPr/>
        <w:t>.</w:t>
      </w:r>
    </w:p>
    <w:p>
      <w:pPr>
        <w:pStyle w:val="EstiloLegenda"/>
        <w:rPr/>
      </w:pPr>
      <w:r>
        <w:rPr/>
      </w:r>
    </w:p>
    <w:p>
      <w:pPr>
        <w:pStyle w:val="EstiloLegenda"/>
        <w:rPr/>
      </w:pPr>
      <w:bookmarkStart w:id="231" w:name="_Toc153384330"/>
      <w:bookmarkStart w:id="232" w:name="_Ref148468569"/>
      <w:r>
        <w:rPr/>
        <w:t xml:space="preserve">Quadro </w:t>
      </w:r>
      <w:r>
        <w:rPr/>
        <w:fldChar w:fldCharType="begin"/>
      </w:r>
      <w:r>
        <w:rPr/>
        <w:instrText> SEQ Quadro \* ARABIC </w:instrText>
      </w:r>
      <w:r>
        <w:rPr/>
        <w:fldChar w:fldCharType="separate"/>
      </w:r>
      <w:r>
        <w:rPr/>
        <w:t>7</w:t>
      </w:r>
      <w:r>
        <w:rPr/>
        <w:fldChar w:fldCharType="end"/>
      </w:r>
      <w:bookmarkEnd w:id="232"/>
      <w:r>
        <w:rPr/>
        <w:t xml:space="preserve"> - Proporcionalidade dos itens - Obra C.</w:t>
      </w:r>
      <w:bookmarkEnd w:id="231"/>
    </w:p>
    <w:tbl>
      <w:tblPr>
        <w:tblStyle w:val="Tabelacomgrade"/>
        <w:tblW w:w="9061" w:type="dxa"/>
        <w:jc w:val="left"/>
        <w:tblInd w:w="0" w:type="dxa"/>
        <w:tblCellMar>
          <w:top w:w="0" w:type="dxa"/>
          <w:left w:w="108" w:type="dxa"/>
          <w:bottom w:w="0" w:type="dxa"/>
          <w:right w:w="108" w:type="dxa"/>
        </w:tblCellMar>
        <w:tblLook w:firstRow="1" w:noVBand="1" w:lastRow="0" w:firstColumn="1" w:lastColumn="0" w:noHBand="0" w:val="04a0"/>
      </w:tblPr>
      <w:tblGrid>
        <w:gridCol w:w="4530"/>
        <w:gridCol w:w="4530"/>
      </w:tblGrid>
      <w:tr>
        <w:trPr>
          <w:trHeight w:val="369" w:hRule="atLeast"/>
        </w:trPr>
        <w:tc>
          <w:tcPr>
            <w:tcW w:w="4530" w:type="dxa"/>
            <w:tcBorders/>
            <w:shd w:color="auto" w:fill="E7E6E6" w:themeFill="background2" w:val="clear"/>
            <w:vAlign w:val="center"/>
          </w:tcPr>
          <w:p>
            <w:pPr>
              <w:pStyle w:val="ListParagraph"/>
              <w:ind w:hanging="0"/>
              <w:jc w:val="center"/>
              <w:rPr>
                <w:b/>
                <w:b/>
                <w:bCs/>
                <w:color w:val="000000" w:themeColor="text1"/>
                <w:sz w:val="20"/>
                <w:szCs w:val="20"/>
              </w:rPr>
            </w:pPr>
            <w:r>
              <w:rPr>
                <w:b/>
                <w:bCs/>
                <w:color w:val="000000" w:themeColor="text1"/>
                <w:sz w:val="20"/>
                <w:szCs w:val="20"/>
              </w:rPr>
              <w:t xml:space="preserve">Descrição </w:t>
            </w:r>
          </w:p>
        </w:tc>
        <w:tc>
          <w:tcPr>
            <w:tcW w:w="4530" w:type="dxa"/>
            <w:tcBorders/>
            <w:shd w:color="auto" w:fill="E7E6E6" w:themeFill="background2" w:val="clear"/>
            <w:vAlign w:val="center"/>
          </w:tcPr>
          <w:p>
            <w:pPr>
              <w:pStyle w:val="ListParagraph"/>
              <w:ind w:hanging="0"/>
              <w:jc w:val="center"/>
              <w:rPr>
                <w:b/>
                <w:b/>
                <w:bCs/>
                <w:color w:val="000000" w:themeColor="text1"/>
                <w:sz w:val="20"/>
                <w:szCs w:val="20"/>
              </w:rPr>
            </w:pPr>
            <w:r>
              <w:rPr>
                <w:b/>
                <w:bCs/>
                <w:color w:val="000000" w:themeColor="text1"/>
                <w:sz w:val="20"/>
                <w:szCs w:val="20"/>
              </w:rPr>
              <w:t>Proporcionalidade (%)</w:t>
            </w:r>
          </w:p>
        </w:tc>
      </w:tr>
      <w:tr>
        <w:trPr>
          <w:trHeight w:val="369" w:hRule="atLeast"/>
        </w:trPr>
        <w:tc>
          <w:tcPr>
            <w:tcW w:w="4530" w:type="dxa"/>
            <w:tcBorders/>
            <w:vAlign w:val="center"/>
          </w:tcPr>
          <w:p>
            <w:pPr>
              <w:pStyle w:val="ListParagraph"/>
              <w:ind w:hanging="0"/>
              <w:jc w:val="center"/>
              <w:rPr>
                <w:sz w:val="20"/>
                <w:szCs w:val="20"/>
              </w:rPr>
            </w:pPr>
            <w:r>
              <w:rPr>
                <w:sz w:val="20"/>
                <w:szCs w:val="20"/>
              </w:rPr>
              <w:t>Itens conformes</w:t>
            </w:r>
          </w:p>
        </w:tc>
        <w:tc>
          <w:tcPr>
            <w:tcW w:w="4530" w:type="dxa"/>
            <w:tcBorders/>
            <w:vAlign w:val="center"/>
          </w:tcPr>
          <w:p>
            <w:pPr>
              <w:pStyle w:val="ListParagraph"/>
              <w:ind w:hanging="0"/>
              <w:jc w:val="center"/>
              <w:rPr>
                <w:sz w:val="20"/>
                <w:szCs w:val="20"/>
              </w:rPr>
            </w:pPr>
            <w:r>
              <w:rPr>
                <w:sz w:val="20"/>
                <w:szCs w:val="20"/>
              </w:rPr>
              <w:t>89%</w:t>
            </w:r>
          </w:p>
        </w:tc>
      </w:tr>
      <w:tr>
        <w:trPr>
          <w:trHeight w:val="369" w:hRule="atLeast"/>
        </w:trPr>
        <w:tc>
          <w:tcPr>
            <w:tcW w:w="4530" w:type="dxa"/>
            <w:tcBorders/>
            <w:vAlign w:val="center"/>
          </w:tcPr>
          <w:p>
            <w:pPr>
              <w:pStyle w:val="ListParagraph"/>
              <w:ind w:hanging="0"/>
              <w:jc w:val="center"/>
              <w:rPr>
                <w:sz w:val="20"/>
                <w:szCs w:val="20"/>
              </w:rPr>
            </w:pPr>
            <w:r>
              <w:rPr>
                <w:sz w:val="20"/>
                <w:szCs w:val="20"/>
              </w:rPr>
              <w:t>Itens não conformes</w:t>
            </w:r>
          </w:p>
        </w:tc>
        <w:tc>
          <w:tcPr>
            <w:tcW w:w="4530" w:type="dxa"/>
            <w:tcBorders/>
            <w:vAlign w:val="center"/>
          </w:tcPr>
          <w:p>
            <w:pPr>
              <w:pStyle w:val="ListParagraph"/>
              <w:ind w:hanging="0"/>
              <w:jc w:val="center"/>
              <w:rPr>
                <w:sz w:val="20"/>
                <w:szCs w:val="20"/>
              </w:rPr>
            </w:pPr>
            <w:r>
              <w:rPr>
                <w:sz w:val="20"/>
                <w:szCs w:val="20"/>
              </w:rPr>
              <w:t>3%</w:t>
            </w:r>
          </w:p>
        </w:tc>
      </w:tr>
      <w:tr>
        <w:trPr>
          <w:trHeight w:val="369" w:hRule="atLeast"/>
        </w:trPr>
        <w:tc>
          <w:tcPr>
            <w:tcW w:w="4530" w:type="dxa"/>
            <w:tcBorders/>
            <w:vAlign w:val="center"/>
          </w:tcPr>
          <w:p>
            <w:pPr>
              <w:pStyle w:val="ListParagraph"/>
              <w:ind w:hanging="0"/>
              <w:jc w:val="center"/>
              <w:rPr>
                <w:sz w:val="20"/>
                <w:szCs w:val="20"/>
              </w:rPr>
            </w:pPr>
            <w:r>
              <w:rPr>
                <w:sz w:val="20"/>
                <w:szCs w:val="20"/>
              </w:rPr>
              <w:t>Itens parciais</w:t>
            </w:r>
          </w:p>
        </w:tc>
        <w:tc>
          <w:tcPr>
            <w:tcW w:w="4530" w:type="dxa"/>
            <w:tcBorders/>
            <w:vAlign w:val="center"/>
          </w:tcPr>
          <w:p>
            <w:pPr>
              <w:pStyle w:val="ListParagraph"/>
              <w:ind w:hanging="0"/>
              <w:jc w:val="center"/>
              <w:rPr>
                <w:sz w:val="20"/>
                <w:szCs w:val="20"/>
              </w:rPr>
            </w:pPr>
            <w:r>
              <w:rPr>
                <w:sz w:val="20"/>
                <w:szCs w:val="20"/>
              </w:rPr>
              <w:t>8%</w:t>
            </w:r>
          </w:p>
        </w:tc>
      </w:tr>
    </w:tbl>
    <w:p>
      <w:pPr>
        <w:pStyle w:val="ListParagraph"/>
        <w:spacing w:before="120" w:after="0"/>
        <w:ind w:hanging="0"/>
        <w:contextualSpacing/>
        <w:jc w:val="center"/>
        <w:rPr>
          <w:rFonts w:cs="Arial"/>
          <w:color w:val="000000" w:themeColor="text1"/>
          <w:sz w:val="20"/>
          <w:szCs w:val="20"/>
        </w:rPr>
      </w:pPr>
      <w:r>
        <w:rPr>
          <w:rFonts w:cs="Arial"/>
          <w:color w:val="000000" w:themeColor="text1"/>
          <w:sz w:val="20"/>
          <w:szCs w:val="20"/>
        </w:rPr>
        <w:t>Fonte: Autor próprio (2023).</w:t>
      </w:r>
    </w:p>
    <w:p>
      <w:pPr>
        <w:pStyle w:val="ListParagraph"/>
        <w:spacing w:before="120" w:after="0"/>
        <w:ind w:hanging="0"/>
        <w:contextualSpacing/>
        <w:jc w:val="center"/>
        <w:rPr>
          <w:rFonts w:cs="Arial"/>
          <w:color w:val="000000" w:themeColor="text1"/>
          <w:sz w:val="20"/>
          <w:szCs w:val="20"/>
        </w:rPr>
      </w:pPr>
      <w:r>
        <w:rPr>
          <w:rFonts w:cs="Arial"/>
          <w:color w:val="000000" w:themeColor="text1"/>
          <w:sz w:val="20"/>
          <w:szCs w:val="20"/>
        </w:rPr>
      </w:r>
    </w:p>
    <w:p>
      <w:pPr>
        <w:pStyle w:val="ListParagraph"/>
        <w:rPr/>
      </w:pPr>
      <w:r>
        <w:rPr/>
        <w:t xml:space="preserve">Na </w:t>
      </w:r>
      <w:r>
        <w:rPr/>
        <w:fldChar w:fldCharType="begin"/>
      </w:r>
      <w:r>
        <w:rPr/>
        <w:instrText> REF _Ref152096898 \h </w:instrText>
      </w:r>
      <w:r>
        <w:rPr/>
        <w:fldChar w:fldCharType="separate"/>
      </w:r>
      <w:r>
        <w:rPr/>
        <w:t>Figura 68</w:t>
      </w:r>
      <w:r>
        <w:rPr/>
        <w:fldChar w:fldCharType="end"/>
      </w:r>
      <w:r>
        <w:rPr/>
        <w:t xml:space="preserve"> apresenta-se uma representação gráfica dos itens avaliados no canteiro de obras, referentes à Obra C. Destaca-se que a Obra C apresentou uma taxa de itens conformes de 89% e de não conformidades abaixo de 5% em relação aos itens avaliados.</w:t>
      </w:r>
    </w:p>
    <w:p>
      <w:pPr>
        <w:pStyle w:val="ListParagraph"/>
        <w:rPr/>
      </w:pPr>
      <w:r>
        <w:rPr/>
        <w:t>Para melhorar consideravelmente a porcentagem de itens conformes, recomenda-se a implementação de ações específicas, como, por exemplo, a uniformização dos guarda-corpos, visto que a disposição atual carece de organização. Além disso, é aconselhável intensificar o treinamento dos colaboradores a respeito dos riscos associados à realização de suas atividades próximas a áreas de risco de queda e garantir que as proteções desempenhem eficazmente o papel planejado e evitem o efeito oposto ao projetado.</w:t>
      </w:r>
    </w:p>
    <w:p>
      <w:pPr>
        <w:pStyle w:val="Normal"/>
        <w:rPr/>
      </w:pPr>
      <w:r>
        <w:rPr/>
      </w:r>
    </w:p>
    <w:p>
      <w:pPr>
        <w:pStyle w:val="EstiloLegenda"/>
        <w:rPr/>
      </w:pPr>
      <w:r>
        <w:rPr/>
      </w:r>
      <w:bookmarkStart w:id="233" w:name="_Ref148468637"/>
      <w:bookmarkStart w:id="234" w:name="_Ref148468637"/>
    </w:p>
    <w:p>
      <w:pPr>
        <w:pStyle w:val="EstiloLegenda"/>
        <w:rPr/>
      </w:pPr>
      <w:bookmarkStart w:id="235" w:name="_Toc153611351"/>
      <w:bookmarkStart w:id="236" w:name="_Ref152096898"/>
      <w:r>
        <w:rPr/>
        <w:t xml:space="preserve">Figura </w:t>
      </w:r>
      <w:r>
        <w:rPr/>
        <w:fldChar w:fldCharType="begin"/>
      </w:r>
      <w:r>
        <w:rPr/>
        <w:instrText> SEQ Figura \* ARABIC </w:instrText>
      </w:r>
      <w:r>
        <w:rPr/>
        <w:fldChar w:fldCharType="separate"/>
      </w:r>
      <w:r>
        <w:rPr/>
        <w:t>68</w:t>
      </w:r>
      <w:r>
        <w:rPr/>
        <w:fldChar w:fldCharType="end"/>
      </w:r>
      <w:bookmarkEnd w:id="234"/>
      <w:bookmarkEnd w:id="236"/>
      <w:r>
        <w:rPr/>
        <w:t xml:space="preserve"> - Relação dos itens avaliados - Obra C.</w:t>
      </w:r>
      <w:bookmarkEnd w:id="235"/>
    </w:p>
    <w:p>
      <w:pPr>
        <w:pStyle w:val="Normal"/>
        <w:jc w:val="center"/>
        <w:rPr/>
      </w:pPr>
      <w:r>
        <w:rPr/>
        <w:drawing>
          <wp:inline distT="0" distB="0" distL="0" distR="0">
            <wp:extent cx="5050790" cy="3035935"/>
            <wp:effectExtent l="0" t="0" r="0" b="0"/>
            <wp:docPr id="79" name="Imagem 16286008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Imagem 162860083" descr=""/>
                    <pic:cNvPicPr>
                      <a:picLocks noChangeAspect="1" noChangeArrowheads="1"/>
                    </pic:cNvPicPr>
                  </pic:nvPicPr>
                  <pic:blipFill>
                    <a:blip r:embed="rId80"/>
                    <a:stretch>
                      <a:fillRect/>
                    </a:stretch>
                  </pic:blipFill>
                  <pic:spPr bwMode="auto">
                    <a:xfrm>
                      <a:off x="0" y="0"/>
                      <a:ext cx="5050790" cy="3035935"/>
                    </a:xfrm>
                    <a:prstGeom prst="rect">
                      <a:avLst/>
                    </a:prstGeom>
                  </pic:spPr>
                </pic:pic>
              </a:graphicData>
            </a:graphic>
          </wp:inline>
        </w:drawing>
      </w:r>
    </w:p>
    <w:p>
      <w:pPr>
        <w:pStyle w:val="ListParagraph"/>
        <w:spacing w:before="120" w:after="0"/>
        <w:ind w:hanging="0"/>
        <w:contextualSpacing/>
        <w:jc w:val="center"/>
        <w:rPr>
          <w:rFonts w:cs="Arial"/>
          <w:color w:val="000000" w:themeColor="text1"/>
          <w:sz w:val="20"/>
          <w:szCs w:val="20"/>
        </w:rPr>
      </w:pPr>
      <w:r>
        <w:rPr>
          <w:rFonts w:cs="Arial"/>
          <w:color w:val="000000" w:themeColor="text1"/>
          <w:sz w:val="20"/>
          <w:szCs w:val="20"/>
        </w:rPr>
        <w:t>Fonte: Autor próprio (2023).</w:t>
      </w:r>
    </w:p>
    <w:p>
      <w:pPr>
        <w:pStyle w:val="ListParagraph"/>
        <w:ind w:hanging="0"/>
        <w:jc w:val="center"/>
        <w:rPr>
          <w:rFonts w:cs="Arial"/>
          <w:color w:val="000000" w:themeColor="text1"/>
          <w:sz w:val="20"/>
          <w:szCs w:val="20"/>
        </w:rPr>
      </w:pPr>
      <w:r>
        <w:rPr>
          <w:rFonts w:cs="Arial"/>
          <w:color w:val="000000" w:themeColor="text1"/>
          <w:sz w:val="20"/>
          <w:szCs w:val="20"/>
        </w:rPr>
      </w:r>
    </w:p>
    <w:p>
      <w:pPr>
        <w:pStyle w:val="ListParagraph"/>
        <w:rPr/>
      </w:pPr>
      <w:r>
        <w:rPr/>
        <w:t>Tal como destacado por Martins (2005) em sua análise nos canteiros de obras, a implementação de medidas preventivas contra quedas de altura demanda um planejamento e projeto detalhados. É importante que a Obra C esteja atenta a tais medidas preventivas. É essencial conhecer todas as condições que possam colocar os trabalhadores em risco e adotar medidas preventivas adequadas.</w:t>
      </w:r>
    </w:p>
    <w:p>
      <w:pPr>
        <w:pStyle w:val="ListParagraph"/>
        <w:rPr/>
      </w:pPr>
      <w:r>
        <w:rPr/>
      </w:r>
    </w:p>
    <w:p>
      <w:pPr>
        <w:pStyle w:val="Ttulo3"/>
        <w:rPr/>
      </w:pPr>
      <w:bookmarkStart w:id="237" w:name="_Toc153611174"/>
      <w:r>
        <w:rPr/>
        <w:t>4.2.4 Obra D</w:t>
      </w:r>
      <w:bookmarkEnd w:id="237"/>
    </w:p>
    <w:p>
      <w:pPr>
        <w:pStyle w:val="ListParagraph"/>
        <w:rPr/>
      </w:pPr>
      <w:r>
        <w:rPr/>
        <w:t xml:space="preserve">A quarta obra avaliada, denominada Obra D, e com as características já mencionadas, possuía um total de 30 funcionários no dia em que a visita foi realizada, em que destes 27 eram homens e 3 eram mulheres. </w:t>
      </w:r>
    </w:p>
    <w:p>
      <w:pPr>
        <w:pStyle w:val="ListParagraph"/>
        <w:rPr/>
      </w:pPr>
      <w:r>
        <w:rPr/>
        <w:t xml:space="preserve">A </w:t>
      </w:r>
      <w:r>
        <w:rPr/>
        <w:fldChar w:fldCharType="begin"/>
      </w:r>
      <w:r>
        <w:rPr/>
        <w:instrText> REF _Ref148637218 \h </w:instrText>
      </w:r>
      <w:r>
        <w:rPr/>
        <w:fldChar w:fldCharType="separate"/>
      </w:r>
      <w:r>
        <w:rPr/>
        <w:t>Figura 69</w:t>
      </w:r>
      <w:r>
        <w:rPr/>
        <w:fldChar w:fldCharType="end"/>
      </w:r>
      <w:r>
        <w:rPr/>
        <w:t xml:space="preserve"> proporciona uma visão panorâmica do canteiro da Obra D, capturada a partir da entrada da obra. Nela, é possível observar os serviços em andamento naquele momento.</w:t>
      </w:r>
    </w:p>
    <w:p>
      <w:pPr>
        <w:pStyle w:val="ListParagraph"/>
        <w:rPr/>
      </w:pPr>
      <w:r>
        <w:rPr/>
        <w:t>A visita ao canteiro da Obra D foi conduzida com a presença do engenheiro de segurança do trabalho da empresa e do técnico de segurança do trabalho da própria obra. Durante a visita, foram inspecionados os serviços em andamento para verificar se estavam em conformidade com as diretrizes estabelecidas na NR-18.</w:t>
      </w:r>
    </w:p>
    <w:p>
      <w:pPr>
        <w:pStyle w:val="ListParagraph"/>
        <w:rPr/>
      </w:pPr>
      <w:r>
        <w:rPr/>
      </w:r>
    </w:p>
    <w:p>
      <w:pPr>
        <w:pStyle w:val="EstiloLegenda"/>
        <w:rPr/>
      </w:pPr>
      <w:bookmarkStart w:id="238" w:name="_Toc153611352"/>
      <w:bookmarkStart w:id="239" w:name="_Ref148637218"/>
      <w:r>
        <w:rPr/>
        <w:t xml:space="preserve">Figura </w:t>
      </w:r>
      <w:r>
        <w:rPr/>
        <w:fldChar w:fldCharType="begin"/>
      </w:r>
      <w:r>
        <w:rPr/>
        <w:instrText> SEQ Figura \* ARABIC </w:instrText>
      </w:r>
      <w:r>
        <w:rPr/>
        <w:fldChar w:fldCharType="separate"/>
      </w:r>
      <w:r>
        <w:rPr/>
        <w:t>69</w:t>
      </w:r>
      <w:r>
        <w:rPr/>
        <w:fldChar w:fldCharType="end"/>
      </w:r>
      <w:bookmarkEnd w:id="239"/>
      <w:r>
        <w:rPr/>
        <w:t xml:space="preserve"> - Vista panorâmica - Obra D.</w:t>
      </w:r>
      <w:bookmarkEnd w:id="238"/>
    </w:p>
    <w:p>
      <w:pPr>
        <w:pStyle w:val="ListParagraph"/>
        <w:ind w:hanging="0"/>
        <w:jc w:val="center"/>
        <w:rPr/>
      </w:pPr>
      <w:r>
        <w:rPr/>
        <w:drawing>
          <wp:inline distT="0" distB="0" distL="0" distR="0">
            <wp:extent cx="4690745" cy="3425190"/>
            <wp:effectExtent l="0" t="0" r="0" b="0"/>
            <wp:docPr id="80" name="Figura3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Figura38" descr=""/>
                    <pic:cNvPicPr>
                      <a:picLocks noChangeAspect="1" noChangeArrowheads="1"/>
                    </pic:cNvPicPr>
                  </pic:nvPicPr>
                  <pic:blipFill>
                    <a:blip r:embed="rId81"/>
                    <a:stretch>
                      <a:fillRect/>
                    </a:stretch>
                  </pic:blipFill>
                  <pic:spPr bwMode="auto">
                    <a:xfrm>
                      <a:off x="0" y="0"/>
                      <a:ext cx="4690745" cy="3425190"/>
                    </a:xfrm>
                    <a:prstGeom prst="rect">
                      <a:avLst/>
                    </a:prstGeom>
                  </pic:spPr>
                </pic:pic>
              </a:graphicData>
            </a:graphic>
          </wp:inline>
        </w:drawing>
      </w:r>
    </w:p>
    <w:p>
      <w:pPr>
        <w:pStyle w:val="ListParagraph"/>
        <w:ind w:hanging="0"/>
        <w:jc w:val="center"/>
        <w:rPr>
          <w:rFonts w:cs="Arial"/>
          <w:color w:val="000000" w:themeColor="text1"/>
          <w:sz w:val="20"/>
          <w:szCs w:val="20"/>
        </w:rPr>
      </w:pPr>
      <w:r>
        <w:rPr>
          <w:rFonts w:cs="Arial"/>
          <w:color w:val="000000" w:themeColor="text1"/>
          <w:sz w:val="20"/>
          <w:szCs w:val="20"/>
        </w:rPr>
        <w:t>Fonte: Autor próprio (2023).</w:t>
      </w:r>
    </w:p>
    <w:p>
      <w:pPr>
        <w:pStyle w:val="ListParagraph"/>
        <w:jc w:val="center"/>
        <w:rPr/>
      </w:pPr>
      <w:r>
        <w:rPr/>
      </w:r>
    </w:p>
    <w:p>
      <w:pPr>
        <w:pStyle w:val="ListParagraph"/>
        <w:rPr/>
      </w:pPr>
      <w:r>
        <w:rPr/>
        <w:t xml:space="preserve">Observa-se que a entrada de colaboradores no canteiro de obras só é permitida se estiverem com toda a documentação exigida pela NR-18 devidamente atualizada. A </w:t>
      </w:r>
      <w:r>
        <w:rPr/>
        <w:fldChar w:fldCharType="begin"/>
      </w:r>
      <w:r>
        <w:rPr/>
        <w:instrText> REF _Ref148638536 \h </w:instrText>
      </w:r>
      <w:r>
        <w:rPr/>
        <w:fldChar w:fldCharType="separate"/>
      </w:r>
      <w:r>
        <w:rPr/>
        <w:t>Figura 70</w:t>
      </w:r>
      <w:r>
        <w:rPr/>
        <w:fldChar w:fldCharType="end"/>
      </w:r>
      <w:r>
        <w:rPr/>
        <w:t xml:space="preserve"> exibe a entrada do canteiro de obras da Obra D, em que é possível observar a presença da catraca de acesso à obra. </w:t>
      </w:r>
    </w:p>
    <w:p>
      <w:pPr>
        <w:pStyle w:val="Normal"/>
        <w:rPr/>
      </w:pPr>
      <w:r>
        <w:rPr/>
      </w:r>
    </w:p>
    <w:p>
      <w:pPr>
        <w:pStyle w:val="EstiloLegenda"/>
        <w:rPr/>
      </w:pPr>
      <w:bookmarkStart w:id="240" w:name="_Toc153611353"/>
      <w:bookmarkStart w:id="241" w:name="_Ref148638536"/>
      <w:r>
        <w:rPr/>
        <w:t xml:space="preserve">Figura </w:t>
      </w:r>
      <w:r>
        <w:rPr/>
        <w:fldChar w:fldCharType="begin"/>
      </w:r>
      <w:r>
        <w:rPr/>
        <w:instrText> SEQ Figura \* ARABIC </w:instrText>
      </w:r>
      <w:r>
        <w:rPr/>
        <w:fldChar w:fldCharType="separate"/>
      </w:r>
      <w:r>
        <w:rPr/>
        <w:t>70</w:t>
      </w:r>
      <w:r>
        <w:rPr/>
        <w:fldChar w:fldCharType="end"/>
      </w:r>
      <w:bookmarkEnd w:id="241"/>
      <w:r>
        <w:rPr/>
        <w:t xml:space="preserve"> - Catraca de acesso para entrar na Obra D.</w:t>
      </w:r>
      <w:bookmarkEnd w:id="240"/>
    </w:p>
    <w:p>
      <w:pPr>
        <w:pStyle w:val="ListParagraph"/>
        <w:ind w:hanging="0"/>
        <w:jc w:val="center"/>
        <w:rPr/>
      </w:pPr>
      <w:r>
        <w:rPr/>
        <w:drawing>
          <wp:inline distT="0" distB="0" distL="0" distR="0">
            <wp:extent cx="5050790" cy="3018790"/>
            <wp:effectExtent l="0" t="0" r="0" b="0"/>
            <wp:docPr id="81" name="Figura3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Figura39" descr=""/>
                    <pic:cNvPicPr>
                      <a:picLocks noChangeAspect="1" noChangeArrowheads="1"/>
                    </pic:cNvPicPr>
                  </pic:nvPicPr>
                  <pic:blipFill>
                    <a:blip r:embed="rId82"/>
                    <a:stretch>
                      <a:fillRect/>
                    </a:stretch>
                  </pic:blipFill>
                  <pic:spPr bwMode="auto">
                    <a:xfrm>
                      <a:off x="0" y="0"/>
                      <a:ext cx="5050790" cy="3018790"/>
                    </a:xfrm>
                    <a:prstGeom prst="rect">
                      <a:avLst/>
                    </a:prstGeom>
                  </pic:spPr>
                </pic:pic>
              </a:graphicData>
            </a:graphic>
          </wp:inline>
        </w:drawing>
      </w:r>
    </w:p>
    <w:p>
      <w:pPr>
        <w:pStyle w:val="ListParagraph"/>
        <w:ind w:hanging="0"/>
        <w:jc w:val="center"/>
        <w:rPr>
          <w:rFonts w:cs="Arial"/>
          <w:color w:val="000000" w:themeColor="text1"/>
          <w:sz w:val="20"/>
          <w:szCs w:val="20"/>
        </w:rPr>
      </w:pPr>
      <w:r>
        <w:rPr>
          <w:rFonts w:cs="Arial"/>
          <w:color w:val="000000" w:themeColor="text1"/>
          <w:sz w:val="20"/>
          <w:szCs w:val="20"/>
        </w:rPr>
        <w:t>Fonte: Autor próprio (2023).</w:t>
      </w:r>
    </w:p>
    <w:p>
      <w:pPr>
        <w:pStyle w:val="ListParagraph"/>
        <w:rPr/>
      </w:pPr>
      <w:r>
        <w:rPr/>
        <w:t>Assim, pode-se afirmar que o cumprimento desse requisito está em conformidade com a norma, que determina que a entrada de trabalhadores, deve ocorrer após estes estarem resguardados as medidas que estão previstas na NR-18 (Brasil, 2021).</w:t>
      </w:r>
    </w:p>
    <w:p>
      <w:pPr>
        <w:pStyle w:val="ListParagraph"/>
        <w:rPr/>
      </w:pPr>
      <w:r>
        <w:rPr/>
        <w:t xml:space="preserve">O Programa de Gerenciamento de Riscos, assim como nas demais obras mencionadas anteriormente, a Obra D também está em conformidade com o item da NR-18. Ela possui um PGR elaborado, preparado por um profissional qualificado em segurança do trabalho, adicionalmente, a </w:t>
      </w:r>
      <w:r>
        <w:rPr/>
        <w:fldChar w:fldCharType="begin"/>
      </w:r>
      <w:r>
        <w:rPr/>
        <w:instrText> REF _Ref148641645 \h </w:instrText>
      </w:r>
      <w:r>
        <w:rPr/>
        <w:fldChar w:fldCharType="separate"/>
      </w:r>
      <w:r>
        <w:rPr/>
        <w:t>Figura 71</w:t>
      </w:r>
      <w:r>
        <w:rPr/>
        <w:fldChar w:fldCharType="end"/>
      </w:r>
      <w:r>
        <w:rPr/>
        <w:t xml:space="preserve"> apresenta a capa do PGR da Obra D.  </w:t>
      </w:r>
    </w:p>
    <w:p>
      <w:pPr>
        <w:pStyle w:val="ListParagraph"/>
        <w:ind w:hanging="0"/>
        <w:rPr>
          <w:rFonts w:cs="Arial"/>
          <w:color w:val="000000" w:themeColor="text1"/>
          <w:sz w:val="20"/>
          <w:szCs w:val="20"/>
        </w:rPr>
      </w:pPr>
      <w:r>
        <w:rPr>
          <w:rFonts w:cs="Arial"/>
          <w:color w:val="000000" w:themeColor="text1"/>
          <w:sz w:val="20"/>
          <w:szCs w:val="20"/>
        </w:rPr>
      </w:r>
    </w:p>
    <w:p>
      <w:pPr>
        <w:pStyle w:val="EstiloLegenda"/>
        <w:rPr/>
      </w:pPr>
      <w:bookmarkStart w:id="242" w:name="_Toc153611354"/>
      <w:bookmarkStart w:id="243" w:name="_Ref148641645"/>
      <w:r>
        <w:rPr/>
        <w:t xml:space="preserve">Figura </w:t>
      </w:r>
      <w:r>
        <w:rPr/>
        <w:fldChar w:fldCharType="begin"/>
      </w:r>
      <w:r>
        <w:rPr/>
        <w:instrText> SEQ Figura \* ARABIC </w:instrText>
      </w:r>
      <w:r>
        <w:rPr/>
        <w:fldChar w:fldCharType="separate"/>
      </w:r>
      <w:r>
        <w:rPr/>
        <w:t>71</w:t>
      </w:r>
      <w:r>
        <w:rPr/>
        <w:fldChar w:fldCharType="end"/>
      </w:r>
      <w:bookmarkEnd w:id="243"/>
      <w:r>
        <w:rPr/>
        <w:t xml:space="preserve"> - Programa de Gerenciamento de Riscos - Obra D.</w:t>
      </w:r>
      <w:bookmarkEnd w:id="242"/>
    </w:p>
    <w:p>
      <w:pPr>
        <w:pStyle w:val="ListParagraph"/>
        <w:jc w:val="center"/>
        <w:rPr/>
      </w:pPr>
      <w:r>
        <w:rPr/>
        <w:drawing>
          <wp:inline distT="0" distB="0" distL="0" distR="0">
            <wp:extent cx="4330065" cy="5876925"/>
            <wp:effectExtent l="0" t="0" r="0" b="0"/>
            <wp:docPr id="82" name="Imagem 187896810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em 1878968107" descr=""/>
                    <pic:cNvPicPr>
                      <a:picLocks noChangeAspect="1" noChangeArrowheads="1"/>
                    </pic:cNvPicPr>
                  </pic:nvPicPr>
                  <pic:blipFill>
                    <a:blip r:embed="rId83"/>
                    <a:srcRect l="0" t="3257" r="0" b="1087"/>
                    <a:stretch>
                      <a:fillRect/>
                    </a:stretch>
                  </pic:blipFill>
                  <pic:spPr bwMode="auto">
                    <a:xfrm>
                      <a:off x="0" y="0"/>
                      <a:ext cx="4330065" cy="5876925"/>
                    </a:xfrm>
                    <a:prstGeom prst="rect">
                      <a:avLst/>
                    </a:prstGeom>
                    <a:ln w="9525">
                      <a:solidFill>
                        <a:srgbClr val="000000"/>
                      </a:solidFill>
                    </a:ln>
                  </pic:spPr>
                </pic:pic>
              </a:graphicData>
            </a:graphic>
          </wp:inline>
        </w:drawing>
      </w:r>
    </w:p>
    <w:p>
      <w:pPr>
        <w:pStyle w:val="ListParagraph"/>
        <w:ind w:hanging="0"/>
        <w:jc w:val="center"/>
        <w:rPr>
          <w:rFonts w:cs="Arial"/>
          <w:color w:val="000000" w:themeColor="text1"/>
          <w:sz w:val="20"/>
          <w:szCs w:val="20"/>
        </w:rPr>
      </w:pPr>
      <w:r>
        <w:rPr>
          <w:rFonts w:cs="Arial"/>
          <w:color w:val="000000" w:themeColor="text1"/>
          <w:sz w:val="20"/>
          <w:szCs w:val="20"/>
        </w:rPr>
        <w:t>Fonte: Autor próprio (2023).</w:t>
      </w:r>
    </w:p>
    <w:p>
      <w:pPr>
        <w:pStyle w:val="ListParagraph"/>
        <w:ind w:hanging="0"/>
        <w:jc w:val="center"/>
        <w:rPr>
          <w:rFonts w:cs="Arial"/>
          <w:color w:val="000000" w:themeColor="text1"/>
          <w:sz w:val="20"/>
          <w:szCs w:val="20"/>
        </w:rPr>
      </w:pPr>
      <w:r>
        <w:rPr>
          <w:rFonts w:cs="Arial"/>
          <w:color w:val="000000" w:themeColor="text1"/>
          <w:sz w:val="20"/>
          <w:szCs w:val="20"/>
        </w:rPr>
      </w:r>
    </w:p>
    <w:p>
      <w:pPr>
        <w:pStyle w:val="ListParagraph"/>
        <w:rPr/>
      </w:pPr>
      <w:r>
        <w:rPr/>
        <w:t xml:space="preserve">Na </w:t>
      </w:r>
      <w:r>
        <w:rPr/>
        <w:fldChar w:fldCharType="begin"/>
      </w:r>
      <w:r>
        <w:rPr/>
        <w:instrText> REF _Ref148641645 \h </w:instrText>
      </w:r>
      <w:r>
        <w:rPr/>
        <w:fldChar w:fldCharType="separate"/>
      </w:r>
      <w:r>
        <w:rPr/>
        <w:t>Figura 71</w:t>
      </w:r>
      <w:r>
        <w:rPr/>
        <w:fldChar w:fldCharType="end"/>
      </w:r>
      <w:r>
        <w:rPr/>
        <w:t xml:space="preserve"> consta: i) o nome do empreendimento e ii) o título da obra. No entanto, é importante destacar que, por motivos mencionados anteriormente, a identificação específica da obra foi omitida.</w:t>
      </w:r>
    </w:p>
    <w:p>
      <w:pPr>
        <w:pStyle w:val="ListParagraph"/>
        <w:rPr/>
      </w:pPr>
      <w:r>
        <w:rPr/>
        <w:t xml:space="preserve">No que se refere à área de convivência, a Obra D também cumpre com um dimensionamento adequado para o número de funcionários efetivos. A </w:t>
      </w:r>
      <w:r>
        <w:rPr/>
        <w:fldChar w:fldCharType="begin"/>
      </w:r>
      <w:r>
        <w:rPr/>
        <w:instrText> REF _Ref148791486 \h </w:instrText>
      </w:r>
      <w:r>
        <w:rPr/>
        <w:fldChar w:fldCharType="separate"/>
      </w:r>
      <w:r>
        <w:rPr/>
        <w:t>Figura 72</w:t>
      </w:r>
      <w:r>
        <w:rPr/>
        <w:fldChar w:fldCharType="end"/>
      </w:r>
      <w:r>
        <w:rPr/>
        <w:t xml:space="preserve"> ilustra o refeitório da Obra D, em que se observa que ele atende aos requisitos mínimos de higiene e conforto, mantendo-se limpo, com uma iluminação adequada, cobertura e proteção contra intempéries. </w:t>
      </w:r>
    </w:p>
    <w:p>
      <w:pPr>
        <w:pStyle w:val="Normal"/>
        <w:tabs>
          <w:tab w:val="clear" w:pos="708"/>
          <w:tab w:val="left" w:pos="567" w:leader="none"/>
        </w:tabs>
        <w:jc w:val="center"/>
        <w:rPr/>
      </w:pPr>
      <w:r>
        <w:rPr/>
      </w:r>
    </w:p>
    <w:p>
      <w:pPr>
        <w:pStyle w:val="EstiloLegenda"/>
        <w:rPr/>
      </w:pPr>
      <w:bookmarkStart w:id="244" w:name="_Toc153611355"/>
      <w:bookmarkStart w:id="245" w:name="_Ref148791486"/>
      <w:r>
        <w:rPr/>
        <w:t xml:space="preserve">Figura </w:t>
      </w:r>
      <w:r>
        <w:rPr/>
        <w:fldChar w:fldCharType="begin"/>
      </w:r>
      <w:r>
        <w:rPr/>
        <w:instrText> SEQ Figura \* ARABIC </w:instrText>
      </w:r>
      <w:r>
        <w:rPr/>
        <w:fldChar w:fldCharType="separate"/>
      </w:r>
      <w:r>
        <w:rPr/>
        <w:t>72</w:t>
      </w:r>
      <w:r>
        <w:rPr/>
        <w:fldChar w:fldCharType="end"/>
      </w:r>
      <w:bookmarkEnd w:id="245"/>
      <w:r>
        <w:rPr/>
        <w:t xml:space="preserve"> - Refeitório - Obra D.</w:t>
      </w:r>
      <w:bookmarkEnd w:id="244"/>
    </w:p>
    <w:p>
      <w:pPr>
        <w:pStyle w:val="ListParagraph"/>
        <w:ind w:hanging="0"/>
        <w:jc w:val="center"/>
        <w:rPr/>
      </w:pPr>
      <w:r>
        <w:rPr/>
        <w:drawing>
          <wp:inline distT="0" distB="0" distL="0" distR="0">
            <wp:extent cx="5050790" cy="3698240"/>
            <wp:effectExtent l="0" t="0" r="0" b="0"/>
            <wp:docPr id="83" name="Figura4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Figura40" descr=""/>
                    <pic:cNvPicPr>
                      <a:picLocks noChangeAspect="1" noChangeArrowheads="1"/>
                    </pic:cNvPicPr>
                  </pic:nvPicPr>
                  <pic:blipFill>
                    <a:blip r:embed="rId84"/>
                    <a:stretch>
                      <a:fillRect/>
                    </a:stretch>
                  </pic:blipFill>
                  <pic:spPr bwMode="auto">
                    <a:xfrm>
                      <a:off x="0" y="0"/>
                      <a:ext cx="5050790" cy="3698240"/>
                    </a:xfrm>
                    <a:prstGeom prst="rect">
                      <a:avLst/>
                    </a:prstGeom>
                  </pic:spPr>
                </pic:pic>
              </a:graphicData>
            </a:graphic>
          </wp:inline>
        </w:drawing>
      </w:r>
    </w:p>
    <w:p>
      <w:pPr>
        <w:pStyle w:val="ListParagraph"/>
        <w:ind w:hanging="0"/>
        <w:jc w:val="center"/>
        <w:rPr>
          <w:rFonts w:cs="Arial"/>
          <w:color w:val="000000" w:themeColor="text1"/>
          <w:sz w:val="20"/>
          <w:szCs w:val="20"/>
        </w:rPr>
      </w:pPr>
      <w:r>
        <w:rPr>
          <w:rFonts w:cs="Arial"/>
          <w:color w:val="000000" w:themeColor="text1"/>
          <w:sz w:val="20"/>
          <w:szCs w:val="20"/>
        </w:rPr>
        <w:t>Fonte: Autor próprio (2023).</w:t>
      </w:r>
    </w:p>
    <w:p>
      <w:pPr>
        <w:pStyle w:val="Normal"/>
        <w:rPr/>
      </w:pPr>
      <w:r>
        <w:rPr/>
      </w:r>
    </w:p>
    <w:p>
      <w:pPr>
        <w:pStyle w:val="ListParagraph"/>
        <w:rPr/>
      </w:pPr>
      <w:r>
        <w:rPr/>
        <w:t>No que se refere às instalações sanitárias, a Obra D segue as diretrizes estabelecidas pela NR-18 em relação ao dimensionamento, assim como outras obras mencionadas anteriormente. Na</w:t>
      </w:r>
      <w:r>
        <w:rPr>
          <w:rFonts w:eastAsia="Times New Roman" w:cs="Times New Roman"/>
          <w:iCs/>
          <w:sz w:val="20"/>
          <w:szCs w:val="20"/>
        </w:rPr>
        <w:t xml:space="preserve"> </w:t>
      </w:r>
      <w:r>
        <w:rPr>
          <w:rFonts w:eastAsia="Times New Roman" w:cs="Times New Roman"/>
          <w:iCs/>
          <w:sz w:val="20"/>
          <w:szCs w:val="20"/>
        </w:rPr>
        <w:fldChar w:fldCharType="begin"/>
      </w:r>
      <w:r>
        <w:rPr>
          <w:sz w:val="20"/>
          <w:szCs w:val="20"/>
          <w:iCs/>
          <w:rFonts w:eastAsia="Times New Roman" w:cs="Times New Roman"/>
        </w:rPr>
        <w:instrText> REF _Ref152096951 \h </w:instrText>
      </w:r>
      <w:r>
        <w:rPr>
          <w:sz w:val="20"/>
          <w:szCs w:val="20"/>
          <w:iCs/>
          <w:rFonts w:eastAsia="Times New Roman" w:cs="Times New Roman"/>
        </w:rPr>
        <w:fldChar w:fldCharType="separate"/>
      </w:r>
      <w:r>
        <w:rPr>
          <w:sz w:val="20"/>
          <w:szCs w:val="20"/>
          <w:iCs/>
          <w:rFonts w:eastAsia="Times New Roman" w:cs="Times New Roman"/>
        </w:rPr>
        <w:t>Figura 73</w:t>
      </w:r>
      <w:r>
        <w:rPr>
          <w:sz w:val="20"/>
          <w:szCs w:val="20"/>
          <w:iCs/>
          <w:rFonts w:eastAsia="Times New Roman" w:cs="Times New Roman"/>
        </w:rPr>
        <w:fldChar w:fldCharType="end"/>
      </w:r>
      <w:r>
        <w:rPr/>
        <w:t xml:space="preserve">, é possível observar o banheiro da obra, onde estão localizadas as bacias sanitárias, e na </w:t>
      </w:r>
      <w:r>
        <w:rPr/>
        <w:fldChar w:fldCharType="begin"/>
      </w:r>
      <w:r>
        <w:rPr/>
        <w:instrText> REF _Ref152089027 \h </w:instrText>
      </w:r>
      <w:r>
        <w:rPr/>
        <w:fldChar w:fldCharType="separate"/>
      </w:r>
      <w:r>
        <w:rPr/>
        <w:t>Figura 74</w:t>
      </w:r>
      <w:r>
        <w:rPr/>
        <w:fldChar w:fldCharType="end"/>
      </w:r>
      <w:r>
        <w:rPr/>
        <w:t xml:space="preserve"> é demonstrado o modelo dessas bacias, evidenciando que elas possuem assentos e tampas.</w:t>
      </w:r>
      <w:bookmarkStart w:id="246" w:name="_Ref148796611"/>
    </w:p>
    <w:p>
      <w:pPr>
        <w:pStyle w:val="EstiloLegenda"/>
        <w:rPr/>
      </w:pPr>
      <w:r>
        <w:rPr/>
      </w:r>
    </w:p>
    <w:p>
      <w:pPr>
        <w:pStyle w:val="EstiloLegenda"/>
        <w:rPr/>
      </w:pPr>
      <w:r>
        <w:rPr/>
      </w:r>
    </w:p>
    <w:p>
      <w:pPr>
        <w:pStyle w:val="EstiloLegenda"/>
        <w:rPr/>
      </w:pPr>
      <w:r>
        <w:rPr/>
      </w:r>
    </w:p>
    <w:p>
      <w:pPr>
        <w:pStyle w:val="EstiloLegenda"/>
        <w:rPr/>
      </w:pPr>
      <w:r>
        <w:rPr/>
      </w:r>
    </w:p>
    <w:p>
      <w:pPr>
        <w:pStyle w:val="EstiloLegenda"/>
        <w:rPr/>
      </w:pPr>
      <w:bookmarkStart w:id="247" w:name="_Toc153611356"/>
      <w:bookmarkStart w:id="248" w:name="_Ref152096951"/>
      <w:r>
        <w:rPr/>
        <w:t xml:space="preserve">Figura </w:t>
      </w:r>
      <w:r>
        <w:rPr/>
        <w:fldChar w:fldCharType="begin"/>
      </w:r>
      <w:r>
        <w:rPr/>
        <w:instrText> SEQ Figura \* ARABIC </w:instrText>
      </w:r>
      <w:r>
        <w:rPr/>
        <w:fldChar w:fldCharType="separate"/>
      </w:r>
      <w:r>
        <w:rPr/>
        <w:t>73</w:t>
      </w:r>
      <w:r>
        <w:rPr/>
        <w:fldChar w:fldCharType="end"/>
      </w:r>
      <w:bookmarkEnd w:id="246"/>
      <w:bookmarkEnd w:id="248"/>
      <w:r>
        <w:rPr/>
        <w:t xml:space="preserve"> - Vista geral - sanitários da Obra D.</w:t>
      </w:r>
      <w:bookmarkEnd w:id="247"/>
    </w:p>
    <w:p>
      <w:pPr>
        <w:pStyle w:val="ListParagraph"/>
        <w:jc w:val="center"/>
        <w:rPr/>
      </w:pPr>
      <w:r>
        <w:rPr/>
        <w:drawing>
          <wp:inline distT="0" distB="0" distL="0" distR="0">
            <wp:extent cx="4330700" cy="2459355"/>
            <wp:effectExtent l="0" t="0" r="0" b="0"/>
            <wp:docPr id="84" name="Figura4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Figura41" descr=""/>
                    <pic:cNvPicPr>
                      <a:picLocks noChangeAspect="1" noChangeArrowheads="1"/>
                    </pic:cNvPicPr>
                  </pic:nvPicPr>
                  <pic:blipFill>
                    <a:blip r:embed="rId85"/>
                    <a:stretch>
                      <a:fillRect/>
                    </a:stretch>
                  </pic:blipFill>
                  <pic:spPr bwMode="auto">
                    <a:xfrm>
                      <a:off x="0" y="0"/>
                      <a:ext cx="4330700" cy="2459355"/>
                    </a:xfrm>
                    <a:prstGeom prst="rect">
                      <a:avLst/>
                    </a:prstGeom>
                  </pic:spPr>
                </pic:pic>
              </a:graphicData>
            </a:graphic>
          </wp:inline>
        </w:drawing>
      </w:r>
    </w:p>
    <w:p>
      <w:pPr>
        <w:pStyle w:val="ListParagraph"/>
        <w:ind w:hanging="0"/>
        <w:jc w:val="center"/>
        <w:rPr>
          <w:rFonts w:cs="Arial"/>
          <w:color w:val="000000" w:themeColor="text1"/>
          <w:sz w:val="20"/>
          <w:szCs w:val="20"/>
        </w:rPr>
      </w:pPr>
      <w:r>
        <w:rPr>
          <w:rFonts w:cs="Arial"/>
          <w:color w:val="000000" w:themeColor="text1"/>
          <w:sz w:val="20"/>
          <w:szCs w:val="20"/>
        </w:rPr>
        <w:t>Fonte: Autor próprio (2023).</w:t>
      </w:r>
    </w:p>
    <w:p>
      <w:pPr>
        <w:pStyle w:val="ListParagraph"/>
        <w:ind w:hanging="0"/>
        <w:jc w:val="center"/>
        <w:rPr>
          <w:rFonts w:cs="Arial"/>
          <w:color w:val="000000" w:themeColor="text1"/>
          <w:sz w:val="20"/>
          <w:szCs w:val="20"/>
        </w:rPr>
      </w:pPr>
      <w:r>
        <w:rPr>
          <w:rFonts w:cs="Arial"/>
          <w:color w:val="000000" w:themeColor="text1"/>
          <w:sz w:val="20"/>
          <w:szCs w:val="20"/>
        </w:rPr>
      </w:r>
    </w:p>
    <w:p>
      <w:pPr>
        <w:pStyle w:val="EstiloLegenda"/>
        <w:rPr/>
      </w:pPr>
      <w:bookmarkStart w:id="249" w:name="_Toc153611357"/>
      <w:bookmarkStart w:id="250" w:name="_Ref152089027"/>
      <w:r>
        <w:rPr/>
        <w:t xml:space="preserve">Figura </w:t>
      </w:r>
      <w:r>
        <w:rPr/>
        <w:fldChar w:fldCharType="begin"/>
      </w:r>
      <w:r>
        <w:rPr/>
        <w:instrText> SEQ Figura \* ARABIC </w:instrText>
      </w:r>
      <w:r>
        <w:rPr/>
        <w:fldChar w:fldCharType="separate"/>
      </w:r>
      <w:r>
        <w:rPr/>
        <w:t>74</w:t>
      </w:r>
      <w:r>
        <w:rPr/>
        <w:fldChar w:fldCharType="end"/>
      </w:r>
      <w:bookmarkEnd w:id="250"/>
      <w:r>
        <w:rPr/>
        <w:t xml:space="preserve"> - Bacia sanitária com assento com tampa da Obra D.</w:t>
      </w:r>
      <w:bookmarkEnd w:id="249"/>
    </w:p>
    <w:p>
      <w:pPr>
        <w:pStyle w:val="ListParagraph"/>
        <w:jc w:val="center"/>
        <w:rPr/>
      </w:pPr>
      <w:r>
        <w:rPr/>
        <w:drawing>
          <wp:inline distT="0" distB="0" distL="0" distR="0">
            <wp:extent cx="4330700" cy="2825115"/>
            <wp:effectExtent l="0" t="0" r="0" b="0"/>
            <wp:docPr id="85" name="Figura4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Figura42" descr=""/>
                    <pic:cNvPicPr>
                      <a:picLocks noChangeAspect="1" noChangeArrowheads="1"/>
                    </pic:cNvPicPr>
                  </pic:nvPicPr>
                  <pic:blipFill>
                    <a:blip r:embed="rId86"/>
                    <a:stretch>
                      <a:fillRect/>
                    </a:stretch>
                  </pic:blipFill>
                  <pic:spPr bwMode="auto">
                    <a:xfrm>
                      <a:off x="0" y="0"/>
                      <a:ext cx="4330700" cy="2825115"/>
                    </a:xfrm>
                    <a:prstGeom prst="rect">
                      <a:avLst/>
                    </a:prstGeom>
                  </pic:spPr>
                </pic:pic>
              </a:graphicData>
            </a:graphic>
          </wp:inline>
        </w:drawing>
      </w:r>
    </w:p>
    <w:p>
      <w:pPr>
        <w:pStyle w:val="ListParagraph"/>
        <w:ind w:hanging="0"/>
        <w:jc w:val="center"/>
        <w:rPr>
          <w:rFonts w:cs="Arial"/>
          <w:color w:val="000000" w:themeColor="text1"/>
          <w:sz w:val="20"/>
          <w:szCs w:val="20"/>
        </w:rPr>
      </w:pPr>
      <w:r>
        <w:rPr>
          <w:rFonts w:cs="Arial"/>
          <w:color w:val="000000" w:themeColor="text1"/>
          <w:sz w:val="20"/>
          <w:szCs w:val="20"/>
        </w:rPr>
        <w:t>Fonte: Autor próprio (2023).</w:t>
      </w:r>
    </w:p>
    <w:p>
      <w:pPr>
        <w:pStyle w:val="ListParagraph"/>
        <w:ind w:hanging="0"/>
        <w:jc w:val="center"/>
        <w:rPr>
          <w:rFonts w:cs="Arial"/>
          <w:color w:val="000000" w:themeColor="text1"/>
          <w:sz w:val="20"/>
          <w:szCs w:val="20"/>
        </w:rPr>
      </w:pPr>
      <w:r>
        <w:rPr>
          <w:rFonts w:cs="Arial"/>
          <w:color w:val="000000" w:themeColor="text1"/>
          <w:sz w:val="20"/>
          <w:szCs w:val="20"/>
        </w:rPr>
      </w:r>
    </w:p>
    <w:p>
      <w:pPr>
        <w:pStyle w:val="ListParagraph"/>
        <w:rPr/>
      </w:pPr>
      <w:r>
        <w:rPr/>
        <w:t xml:space="preserve">Em relação ao número de chuveiros elétricos, é relevante destacar que a quantidade disponível atende de maneira significativa às normas estabelecidas pela NR-18, levando em conta a proporção de colaboradores. </w:t>
      </w:r>
    </w:p>
    <w:p>
      <w:pPr>
        <w:pStyle w:val="ListParagraph"/>
        <w:rPr/>
      </w:pPr>
      <w:r>
        <w:rPr/>
        <w:t xml:space="preserve">A </w:t>
      </w:r>
      <w:r>
        <w:rPr/>
        <w:fldChar w:fldCharType="begin"/>
      </w:r>
      <w:r>
        <w:rPr/>
        <w:instrText> REF _Ref152097176 \h </w:instrText>
      </w:r>
      <w:r>
        <w:rPr/>
        <w:fldChar w:fldCharType="separate"/>
      </w:r>
      <w:r>
        <w:rPr/>
        <w:t>Figura 75</w:t>
      </w:r>
      <w:r>
        <w:rPr/>
        <w:fldChar w:fldCharType="end"/>
      </w:r>
      <w:r>
        <w:rPr/>
        <w:t xml:space="preserve"> mostra um pouco do espaço onde os chuveiros elétricos estão instalados, enquanto a </w:t>
      </w:r>
      <w:r>
        <w:rPr/>
        <w:fldChar w:fldCharType="begin"/>
      </w:r>
      <w:r>
        <w:rPr/>
        <w:instrText> REF _Ref148804018 \h </w:instrText>
      </w:r>
      <w:r>
        <w:rPr/>
        <w:fldChar w:fldCharType="separate"/>
      </w:r>
      <w:r>
        <w:rPr/>
        <w:t>Figura 76</w:t>
      </w:r>
      <w:r>
        <w:rPr/>
        <w:fldChar w:fldCharType="end"/>
      </w:r>
      <w:r>
        <w:rPr/>
        <w:t xml:space="preserve"> mostra o modelo específico dos chuveiros utilizados na Obra D. </w:t>
      </w:r>
      <w:bookmarkStart w:id="251" w:name="_Ref148804009"/>
      <w:r>
        <w:rPr/>
        <w:t>Destaca-se que não foi identificado nenhum chuveiro interditado ou que apresentasse qualquer problema capaz de comprometer seu funcionamento a ponto de justificar a interdição.</w:t>
      </w:r>
    </w:p>
    <w:p>
      <w:pPr>
        <w:pStyle w:val="EstiloLegenda"/>
        <w:rPr/>
      </w:pPr>
      <w:bookmarkStart w:id="252" w:name="_Toc153611358"/>
      <w:bookmarkStart w:id="253" w:name="_Ref152097176"/>
      <w:r>
        <w:rPr/>
        <w:t xml:space="preserve">Figura </w:t>
      </w:r>
      <w:r>
        <w:rPr/>
        <w:fldChar w:fldCharType="begin"/>
      </w:r>
      <w:r>
        <w:rPr/>
        <w:instrText> SEQ Figura \* ARABIC </w:instrText>
      </w:r>
      <w:r>
        <w:rPr/>
        <w:fldChar w:fldCharType="separate"/>
      </w:r>
      <w:r>
        <w:rPr/>
        <w:t>75</w:t>
      </w:r>
      <w:r>
        <w:rPr/>
        <w:fldChar w:fldCharType="end"/>
      </w:r>
      <w:bookmarkEnd w:id="251"/>
      <w:bookmarkEnd w:id="253"/>
      <w:r>
        <w:rPr/>
        <w:t xml:space="preserve"> - Vista geral dos chuveiros - Obra D.</w:t>
      </w:r>
      <w:bookmarkEnd w:id="252"/>
    </w:p>
    <w:p>
      <w:pPr>
        <w:pStyle w:val="ListParagraph"/>
        <w:jc w:val="center"/>
        <w:rPr/>
      </w:pPr>
      <w:r>
        <w:rPr/>
        <w:drawing>
          <wp:inline distT="0" distB="0" distL="0" distR="0">
            <wp:extent cx="4341495" cy="3286760"/>
            <wp:effectExtent l="0" t="0" r="0" b="0"/>
            <wp:docPr id="86" name="Figura4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Figura43" descr=""/>
                    <pic:cNvPicPr>
                      <a:picLocks noChangeAspect="1" noChangeArrowheads="1"/>
                    </pic:cNvPicPr>
                  </pic:nvPicPr>
                  <pic:blipFill>
                    <a:blip r:embed="rId87"/>
                    <a:stretch>
                      <a:fillRect/>
                    </a:stretch>
                  </pic:blipFill>
                  <pic:spPr bwMode="auto">
                    <a:xfrm>
                      <a:off x="0" y="0"/>
                      <a:ext cx="4341495" cy="3286760"/>
                    </a:xfrm>
                    <a:prstGeom prst="rect">
                      <a:avLst/>
                    </a:prstGeom>
                  </pic:spPr>
                </pic:pic>
              </a:graphicData>
            </a:graphic>
          </wp:inline>
        </w:drawing>
      </w:r>
    </w:p>
    <w:p>
      <w:pPr>
        <w:pStyle w:val="ListParagraph"/>
        <w:ind w:hanging="0"/>
        <w:jc w:val="center"/>
        <w:rPr>
          <w:rFonts w:cs="Arial"/>
          <w:color w:val="000000" w:themeColor="text1"/>
          <w:sz w:val="20"/>
          <w:szCs w:val="20"/>
        </w:rPr>
      </w:pPr>
      <w:r>
        <w:rPr>
          <w:rFonts w:cs="Arial"/>
          <w:color w:val="000000" w:themeColor="text1"/>
          <w:sz w:val="20"/>
          <w:szCs w:val="20"/>
        </w:rPr>
        <w:t>Fonte: Autor próprio (2023).</w:t>
      </w:r>
    </w:p>
    <w:p>
      <w:pPr>
        <w:pStyle w:val="Normal"/>
        <w:rPr/>
      </w:pPr>
      <w:r>
        <w:rPr/>
      </w:r>
    </w:p>
    <w:p>
      <w:pPr>
        <w:pStyle w:val="EstiloLegenda"/>
        <w:rPr/>
      </w:pPr>
      <w:bookmarkStart w:id="254" w:name="_Toc153611359"/>
      <w:bookmarkStart w:id="255" w:name="_Ref148804018"/>
      <w:r>
        <w:rPr/>
        <w:t xml:space="preserve">Figura </w:t>
      </w:r>
      <w:r>
        <w:rPr/>
        <w:fldChar w:fldCharType="begin"/>
      </w:r>
      <w:r>
        <w:rPr/>
        <w:instrText> SEQ Figura \* ARABIC </w:instrText>
      </w:r>
      <w:r>
        <w:rPr/>
        <w:fldChar w:fldCharType="separate"/>
      </w:r>
      <w:r>
        <w:rPr/>
        <w:t>76</w:t>
      </w:r>
      <w:r>
        <w:rPr/>
        <w:fldChar w:fldCharType="end"/>
      </w:r>
      <w:bookmarkEnd w:id="255"/>
      <w:r>
        <w:rPr/>
        <w:t xml:space="preserve"> - Chuveiro elétrico - Obra D.</w:t>
      </w:r>
      <w:bookmarkEnd w:id="254"/>
    </w:p>
    <w:p>
      <w:pPr>
        <w:pStyle w:val="ListParagraph"/>
        <w:jc w:val="center"/>
        <w:rPr/>
      </w:pPr>
      <w:r>
        <w:rPr/>
        <w:drawing>
          <wp:inline distT="0" distB="0" distL="0" distR="0">
            <wp:extent cx="4341495" cy="2813050"/>
            <wp:effectExtent l="0" t="0" r="0" b="0"/>
            <wp:docPr id="87" name="Figura4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Figura44" descr=""/>
                    <pic:cNvPicPr>
                      <a:picLocks noChangeAspect="1" noChangeArrowheads="1"/>
                    </pic:cNvPicPr>
                  </pic:nvPicPr>
                  <pic:blipFill>
                    <a:blip r:embed="rId88"/>
                    <a:stretch>
                      <a:fillRect/>
                    </a:stretch>
                  </pic:blipFill>
                  <pic:spPr bwMode="auto">
                    <a:xfrm>
                      <a:off x="0" y="0"/>
                      <a:ext cx="4341495" cy="2813050"/>
                    </a:xfrm>
                    <a:prstGeom prst="rect">
                      <a:avLst/>
                    </a:prstGeom>
                  </pic:spPr>
                </pic:pic>
              </a:graphicData>
            </a:graphic>
          </wp:inline>
        </w:drawing>
      </w:r>
    </w:p>
    <w:p>
      <w:pPr>
        <w:pStyle w:val="ListParagraph"/>
        <w:ind w:hanging="0"/>
        <w:jc w:val="center"/>
        <w:rPr>
          <w:rFonts w:cs="Arial"/>
          <w:color w:val="000000" w:themeColor="text1"/>
          <w:sz w:val="20"/>
          <w:szCs w:val="20"/>
        </w:rPr>
      </w:pPr>
      <w:r>
        <w:rPr>
          <w:rFonts w:cs="Arial"/>
          <w:color w:val="000000" w:themeColor="text1"/>
          <w:sz w:val="20"/>
          <w:szCs w:val="20"/>
        </w:rPr>
        <w:t>Fonte: Autor próprio (2023).</w:t>
      </w:r>
    </w:p>
    <w:p>
      <w:pPr>
        <w:pStyle w:val="ListParagraph"/>
        <w:ind w:hanging="0"/>
        <w:jc w:val="center"/>
        <w:rPr>
          <w:rFonts w:cs="Arial"/>
          <w:color w:val="000000" w:themeColor="text1"/>
          <w:sz w:val="20"/>
          <w:szCs w:val="20"/>
        </w:rPr>
      </w:pPr>
      <w:r>
        <w:rPr>
          <w:rFonts w:cs="Arial"/>
          <w:color w:val="000000" w:themeColor="text1"/>
          <w:sz w:val="20"/>
          <w:szCs w:val="20"/>
        </w:rPr>
      </w:r>
    </w:p>
    <w:p>
      <w:pPr>
        <w:pStyle w:val="ListParagraph"/>
        <w:rPr/>
      </w:pPr>
      <w:r>
        <w:rPr/>
        <w:t xml:space="preserve">A </w:t>
      </w:r>
      <w:r>
        <w:rPr>
          <w:rFonts w:eastAsia="Times New Roman" w:cs="Times New Roman"/>
          <w:iCs/>
          <w:sz w:val="20"/>
          <w:szCs w:val="20"/>
        </w:rPr>
        <w:fldChar w:fldCharType="begin"/>
      </w:r>
      <w:r>
        <w:rPr>
          <w:sz w:val="20"/>
          <w:szCs w:val="20"/>
          <w:iCs/>
          <w:rFonts w:eastAsia="Times New Roman" w:cs="Times New Roman"/>
        </w:rPr>
        <w:instrText> REF _Ref152096969 \h </w:instrText>
      </w:r>
      <w:r>
        <w:rPr>
          <w:sz w:val="20"/>
          <w:szCs w:val="20"/>
          <w:iCs/>
          <w:rFonts w:eastAsia="Times New Roman" w:cs="Times New Roman"/>
        </w:rPr>
        <w:fldChar w:fldCharType="separate"/>
      </w:r>
      <w:r>
        <w:rPr>
          <w:sz w:val="20"/>
          <w:szCs w:val="20"/>
          <w:iCs/>
          <w:rFonts w:eastAsia="Times New Roman" w:cs="Times New Roman"/>
        </w:rPr>
        <w:t>Figura 77</w:t>
      </w:r>
      <w:r>
        <w:rPr>
          <w:sz w:val="20"/>
          <w:szCs w:val="20"/>
          <w:iCs/>
          <w:rFonts w:eastAsia="Times New Roman" w:cs="Times New Roman"/>
        </w:rPr>
        <w:fldChar w:fldCharType="end"/>
      </w:r>
      <w:r>
        <w:rPr>
          <w:rFonts w:eastAsia="Times New Roman" w:cs="Times New Roman"/>
          <w:iCs/>
          <w:sz w:val="20"/>
          <w:szCs w:val="20"/>
        </w:rPr>
        <w:t xml:space="preserve"> </w:t>
      </w:r>
      <w:r>
        <w:rPr/>
        <w:t>apresenta o vestiário da Obra D, onde é evidente que todos os armários dos colaboradores estão devidamente trancados, e não há pertences fora deles. Isso demonstra a conformidade com as normas relativas aos vestiários, garantindo a segurança e a organização no ambiente de trabalho.</w:t>
      </w:r>
    </w:p>
    <w:p>
      <w:pPr>
        <w:pStyle w:val="Normal"/>
        <w:rPr/>
      </w:pPr>
      <w:r>
        <w:rPr/>
      </w:r>
    </w:p>
    <w:p>
      <w:pPr>
        <w:pStyle w:val="EstiloLegenda"/>
        <w:rPr/>
      </w:pPr>
      <w:r>
        <w:rPr/>
      </w:r>
      <w:bookmarkStart w:id="256" w:name="_Ref148804367"/>
      <w:bookmarkStart w:id="257" w:name="_Ref148804367"/>
    </w:p>
    <w:p>
      <w:pPr>
        <w:pStyle w:val="EstiloLegenda"/>
        <w:rPr/>
      </w:pPr>
      <w:bookmarkStart w:id="258" w:name="_Toc153611360"/>
      <w:bookmarkStart w:id="259" w:name="_Ref152096969"/>
      <w:r>
        <w:rPr/>
        <w:t xml:space="preserve">Figura </w:t>
      </w:r>
      <w:r>
        <w:rPr/>
        <w:fldChar w:fldCharType="begin"/>
      </w:r>
      <w:r>
        <w:rPr/>
        <w:instrText> SEQ Figura \* ARABIC </w:instrText>
      </w:r>
      <w:r>
        <w:rPr/>
        <w:fldChar w:fldCharType="separate"/>
      </w:r>
      <w:r>
        <w:rPr/>
        <w:t>77</w:t>
      </w:r>
      <w:r>
        <w:rPr/>
        <w:fldChar w:fldCharType="end"/>
      </w:r>
      <w:bookmarkEnd w:id="257"/>
      <w:bookmarkEnd w:id="259"/>
      <w:r>
        <w:rPr/>
        <w:t xml:space="preserve"> - Vestiário - Obra D.</w:t>
      </w:r>
      <w:bookmarkEnd w:id="258"/>
    </w:p>
    <w:p>
      <w:pPr>
        <w:pStyle w:val="ListParagraph"/>
        <w:jc w:val="center"/>
        <w:rPr/>
      </w:pPr>
      <w:r>
        <w:rPr/>
        <w:drawing>
          <wp:inline distT="0" distB="0" distL="0" distR="0">
            <wp:extent cx="4341495" cy="2652395"/>
            <wp:effectExtent l="0" t="0" r="0" b="0"/>
            <wp:docPr id="88" name="Figura4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Figura45" descr=""/>
                    <pic:cNvPicPr>
                      <a:picLocks noChangeAspect="1" noChangeArrowheads="1"/>
                    </pic:cNvPicPr>
                  </pic:nvPicPr>
                  <pic:blipFill>
                    <a:blip r:embed="rId89"/>
                    <a:stretch>
                      <a:fillRect/>
                    </a:stretch>
                  </pic:blipFill>
                  <pic:spPr bwMode="auto">
                    <a:xfrm>
                      <a:off x="0" y="0"/>
                      <a:ext cx="4341495" cy="2652395"/>
                    </a:xfrm>
                    <a:prstGeom prst="rect">
                      <a:avLst/>
                    </a:prstGeom>
                  </pic:spPr>
                </pic:pic>
              </a:graphicData>
            </a:graphic>
          </wp:inline>
        </w:drawing>
      </w:r>
    </w:p>
    <w:p>
      <w:pPr>
        <w:pStyle w:val="ListParagraph"/>
        <w:ind w:hanging="0"/>
        <w:jc w:val="center"/>
        <w:rPr>
          <w:rFonts w:cs="Arial"/>
          <w:color w:val="000000" w:themeColor="text1"/>
          <w:sz w:val="20"/>
          <w:szCs w:val="20"/>
        </w:rPr>
      </w:pPr>
      <w:r>
        <w:rPr>
          <w:rFonts w:cs="Arial"/>
          <w:color w:val="000000" w:themeColor="text1"/>
          <w:sz w:val="20"/>
          <w:szCs w:val="20"/>
        </w:rPr>
        <w:t>Fonte: Autor próprio (2023).</w:t>
      </w:r>
    </w:p>
    <w:p>
      <w:pPr>
        <w:pStyle w:val="ListParagraph"/>
        <w:ind w:hanging="0"/>
        <w:jc w:val="center"/>
        <w:rPr>
          <w:rFonts w:cs="Arial"/>
          <w:color w:val="000000" w:themeColor="text1"/>
          <w:sz w:val="20"/>
          <w:szCs w:val="20"/>
        </w:rPr>
      </w:pPr>
      <w:r>
        <w:rPr>
          <w:rFonts w:cs="Arial"/>
          <w:color w:val="000000" w:themeColor="text1"/>
          <w:sz w:val="20"/>
          <w:szCs w:val="20"/>
        </w:rPr>
      </w:r>
    </w:p>
    <w:p>
      <w:pPr>
        <w:pStyle w:val="ListParagraph"/>
        <w:rPr/>
      </w:pPr>
      <w:r>
        <w:rPr/>
        <w:t>Quanto ao acesso à Obra D, constatou-se a presença de apenas uma escada, como evidenciado na Figura 83. É importante ressaltar que essa se encontra em bom estado, sem qualquer sinal de emendas, saliências ou farpas que possam comprometer sua segurança ou utilização.</w:t>
      </w:r>
    </w:p>
    <w:p>
      <w:pPr>
        <w:pStyle w:val="Normal"/>
        <w:rPr/>
      </w:pPr>
      <w:r>
        <w:rPr/>
      </w:r>
    </w:p>
    <w:p>
      <w:pPr>
        <w:pStyle w:val="EstiloLegenda"/>
        <w:rPr/>
      </w:pPr>
      <w:bookmarkStart w:id="260" w:name="_Toc153611361"/>
      <w:r>
        <w:rPr/>
        <w:t xml:space="preserve">Figura </w:t>
      </w:r>
      <w:r>
        <w:rPr/>
        <w:fldChar w:fldCharType="begin"/>
      </w:r>
      <w:r>
        <w:rPr/>
        <w:instrText> SEQ Figura \* ARABIC </w:instrText>
      </w:r>
      <w:r>
        <w:rPr/>
        <w:fldChar w:fldCharType="separate"/>
      </w:r>
      <w:r>
        <w:rPr/>
        <w:t>78</w:t>
      </w:r>
      <w:r>
        <w:rPr/>
        <w:fldChar w:fldCharType="end"/>
      </w:r>
      <w:r>
        <w:rPr/>
        <w:t xml:space="preserve"> - Escada de acesso ao canteiro da Obra D</w:t>
      </w:r>
      <w:bookmarkEnd w:id="260"/>
    </w:p>
    <w:p>
      <w:pPr>
        <w:pStyle w:val="ListParagraph"/>
        <w:tabs>
          <w:tab w:val="clear" w:pos="708"/>
          <w:tab w:val="left" w:pos="567" w:leader="none"/>
        </w:tabs>
        <w:ind w:hanging="0"/>
        <w:jc w:val="center"/>
        <w:rPr>
          <w:rFonts w:cs="Arial"/>
          <w:color w:val="000000" w:themeColor="text1"/>
          <w:sz w:val="20"/>
          <w:szCs w:val="20"/>
        </w:rPr>
      </w:pPr>
      <w:r>
        <w:rPr/>
        <w:drawing>
          <wp:inline distT="0" distB="0" distL="0" distR="0">
            <wp:extent cx="4330700" cy="3693795"/>
            <wp:effectExtent l="0" t="0" r="0" b="0"/>
            <wp:docPr id="89" name="Figura4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Figura46" descr=""/>
                    <pic:cNvPicPr>
                      <a:picLocks noChangeAspect="1" noChangeArrowheads="1"/>
                    </pic:cNvPicPr>
                  </pic:nvPicPr>
                  <pic:blipFill>
                    <a:blip r:embed="rId90"/>
                    <a:stretch>
                      <a:fillRect/>
                    </a:stretch>
                  </pic:blipFill>
                  <pic:spPr bwMode="auto">
                    <a:xfrm>
                      <a:off x="0" y="0"/>
                      <a:ext cx="4330700" cy="3693795"/>
                    </a:xfrm>
                    <a:prstGeom prst="rect">
                      <a:avLst/>
                    </a:prstGeom>
                  </pic:spPr>
                </pic:pic>
              </a:graphicData>
            </a:graphic>
          </wp:inline>
        </w:drawing>
      </w:r>
    </w:p>
    <w:p>
      <w:pPr>
        <w:pStyle w:val="ListParagraph"/>
        <w:tabs>
          <w:tab w:val="clear" w:pos="708"/>
          <w:tab w:val="left" w:pos="8789" w:leader="none"/>
        </w:tabs>
        <w:jc w:val="center"/>
        <w:rPr>
          <w:rFonts w:cs="Arial"/>
          <w:color w:val="000000" w:themeColor="text1"/>
          <w:sz w:val="20"/>
          <w:szCs w:val="20"/>
        </w:rPr>
      </w:pPr>
      <w:r>
        <w:rPr>
          <w:rFonts w:cs="Arial"/>
          <w:color w:val="000000" w:themeColor="text1"/>
          <w:sz w:val="20"/>
          <w:szCs w:val="20"/>
        </w:rPr>
        <w:t>Fonte: Autor próprio (2023).</w:t>
      </w:r>
    </w:p>
    <w:p>
      <w:pPr>
        <w:pStyle w:val="ListParagraph"/>
        <w:rPr/>
      </w:pPr>
      <w:r>
        <w:rPr/>
        <w:t xml:space="preserve">A Obra D se destaca pela presença de um canteiro de obras devidamente sinalizado. Nele, foram identificadas placas de advertência que abordam os riscos inerentes à obra, orientações sobre saídas, obrigatoriedade do uso de EPI e outros avisos importantes. Para ilustrar essa situação, alguns exemplos podem ser visualizados na </w:t>
      </w:r>
      <w:r>
        <w:rPr/>
        <w:fldChar w:fldCharType="begin"/>
      </w:r>
      <w:r>
        <w:rPr/>
        <w:instrText> REF _Ref148818168 \h </w:instrText>
      </w:r>
      <w:r>
        <w:rPr/>
        <w:fldChar w:fldCharType="separate"/>
      </w:r>
      <w:r>
        <w:rPr/>
        <w:t>Figura 79</w:t>
      </w:r>
      <w:r>
        <w:rPr/>
        <w:fldChar w:fldCharType="end"/>
      </w:r>
      <w:r>
        <w:rPr/>
        <w:t xml:space="preserve">, que demonstra a exigência do uso de EPI dentro do canteiro, e na </w:t>
      </w:r>
      <w:r>
        <w:rPr/>
        <w:fldChar w:fldCharType="begin"/>
      </w:r>
      <w:r>
        <w:rPr/>
        <w:instrText> REF _Ref148818175 \h </w:instrText>
      </w:r>
      <w:r>
        <w:rPr/>
        <w:fldChar w:fldCharType="separate"/>
      </w:r>
      <w:r>
        <w:rPr/>
        <w:t>Figura 80</w:t>
      </w:r>
      <w:r>
        <w:rPr/>
        <w:fldChar w:fldCharType="end"/>
      </w:r>
      <w:r>
        <w:rPr/>
        <w:t>, que destaca o isolamento da área devido aos serviços em andamento.</w:t>
      </w:r>
    </w:p>
    <w:p>
      <w:pPr>
        <w:pStyle w:val="EstiloLegenda"/>
        <w:jc w:val="both"/>
        <w:rPr/>
      </w:pPr>
      <w:r>
        <w:rPr/>
      </w:r>
    </w:p>
    <w:p>
      <w:pPr>
        <w:pStyle w:val="EstiloLegenda"/>
        <w:rPr/>
      </w:pPr>
      <w:bookmarkStart w:id="261" w:name="_Toc153611362"/>
      <w:bookmarkStart w:id="262" w:name="_Ref148818168"/>
      <w:r>
        <w:rPr/>
        <w:t xml:space="preserve">Figura </w:t>
      </w:r>
      <w:r>
        <w:rPr/>
        <w:fldChar w:fldCharType="begin"/>
      </w:r>
      <w:r>
        <w:rPr/>
        <w:instrText> SEQ Figura \* ARABIC </w:instrText>
      </w:r>
      <w:r>
        <w:rPr/>
        <w:fldChar w:fldCharType="separate"/>
      </w:r>
      <w:r>
        <w:rPr/>
        <w:t>79</w:t>
      </w:r>
      <w:r>
        <w:rPr/>
        <w:fldChar w:fldCharType="end"/>
      </w:r>
      <w:bookmarkEnd w:id="262"/>
      <w:r>
        <w:rPr/>
        <w:t xml:space="preserve"> - Placas de sinalização - Obra D.</w:t>
      </w:r>
      <w:bookmarkEnd w:id="261"/>
    </w:p>
    <w:p>
      <w:pPr>
        <w:pStyle w:val="ListParagraph"/>
        <w:ind w:hanging="0"/>
        <w:jc w:val="center"/>
        <w:rPr/>
      </w:pPr>
      <w:r>
        <w:rPr/>
        <w:drawing>
          <wp:inline distT="0" distB="0" distL="0" distR="0">
            <wp:extent cx="4330700" cy="3230245"/>
            <wp:effectExtent l="0" t="0" r="0" b="0"/>
            <wp:docPr id="90" name="Imagem 2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Imagem 22" descr=""/>
                    <pic:cNvPicPr>
                      <a:picLocks noChangeAspect="1" noChangeArrowheads="1"/>
                    </pic:cNvPicPr>
                  </pic:nvPicPr>
                  <pic:blipFill>
                    <a:blip r:embed="rId91"/>
                    <a:srcRect l="0" t="0" r="1890" b="0"/>
                    <a:stretch>
                      <a:fillRect/>
                    </a:stretch>
                  </pic:blipFill>
                  <pic:spPr bwMode="auto">
                    <a:xfrm>
                      <a:off x="0" y="0"/>
                      <a:ext cx="4330700" cy="3230245"/>
                    </a:xfrm>
                    <a:prstGeom prst="rect">
                      <a:avLst/>
                    </a:prstGeom>
                    <a:ln w="9525">
                      <a:solidFill>
                        <a:srgbClr val="000000"/>
                      </a:solidFill>
                    </a:ln>
                  </pic:spPr>
                </pic:pic>
              </a:graphicData>
            </a:graphic>
          </wp:inline>
        </w:drawing>
      </w:r>
    </w:p>
    <w:p>
      <w:pPr>
        <w:pStyle w:val="ListParagraph"/>
        <w:tabs>
          <w:tab w:val="clear" w:pos="708"/>
          <w:tab w:val="left" w:pos="8789" w:leader="none"/>
        </w:tabs>
        <w:jc w:val="center"/>
        <w:rPr>
          <w:rFonts w:cs="Arial"/>
          <w:color w:val="000000" w:themeColor="text1"/>
          <w:sz w:val="20"/>
          <w:szCs w:val="20"/>
        </w:rPr>
      </w:pPr>
      <w:r>
        <w:rPr>
          <w:rFonts w:cs="Arial"/>
          <w:color w:val="000000" w:themeColor="text1"/>
          <w:sz w:val="20"/>
          <w:szCs w:val="20"/>
        </w:rPr>
        <w:t>Fonte: Autor próprio (2023).</w:t>
      </w:r>
    </w:p>
    <w:p>
      <w:pPr>
        <w:pStyle w:val="EstiloLegenda"/>
        <w:rPr/>
      </w:pPr>
      <w:r>
        <w:rPr/>
      </w:r>
    </w:p>
    <w:p>
      <w:pPr>
        <w:pStyle w:val="EstiloLegenda"/>
        <w:rPr/>
      </w:pPr>
      <w:bookmarkStart w:id="263" w:name="_Toc153611363"/>
      <w:bookmarkStart w:id="264" w:name="_Ref148818175"/>
      <w:r>
        <w:rPr/>
        <w:t xml:space="preserve">Figura </w:t>
      </w:r>
      <w:r>
        <w:rPr/>
        <w:fldChar w:fldCharType="begin"/>
      </w:r>
      <w:r>
        <w:rPr/>
        <w:instrText> SEQ Figura \* ARABIC </w:instrText>
      </w:r>
      <w:r>
        <w:rPr/>
        <w:fldChar w:fldCharType="separate"/>
      </w:r>
      <w:r>
        <w:rPr/>
        <w:t>80</w:t>
      </w:r>
      <w:r>
        <w:rPr/>
        <w:fldChar w:fldCharType="end"/>
      </w:r>
      <w:bookmarkEnd w:id="264"/>
      <w:r>
        <w:rPr/>
        <w:t xml:space="preserve"> - Sinalização de perigo - Obra D.</w:t>
      </w:r>
      <w:bookmarkEnd w:id="263"/>
    </w:p>
    <w:p>
      <w:pPr>
        <w:pStyle w:val="ListParagraph"/>
        <w:ind w:hanging="0"/>
        <w:jc w:val="center"/>
        <w:rPr/>
      </w:pPr>
      <w:r>
        <w:rPr/>
        <w:drawing>
          <wp:inline distT="0" distB="0" distL="0" distR="0">
            <wp:extent cx="4330700" cy="2539365"/>
            <wp:effectExtent l="0" t="0" r="0" b="0"/>
            <wp:docPr id="91" name="Figura4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Figura47" descr=""/>
                    <pic:cNvPicPr>
                      <a:picLocks noChangeAspect="1" noChangeArrowheads="1"/>
                    </pic:cNvPicPr>
                  </pic:nvPicPr>
                  <pic:blipFill>
                    <a:blip r:embed="rId92"/>
                    <a:stretch>
                      <a:fillRect/>
                    </a:stretch>
                  </pic:blipFill>
                  <pic:spPr bwMode="auto">
                    <a:xfrm>
                      <a:off x="0" y="0"/>
                      <a:ext cx="4330700" cy="2539365"/>
                    </a:xfrm>
                    <a:prstGeom prst="rect">
                      <a:avLst/>
                    </a:prstGeom>
                  </pic:spPr>
                </pic:pic>
              </a:graphicData>
            </a:graphic>
          </wp:inline>
        </w:drawing>
      </w:r>
    </w:p>
    <w:p>
      <w:pPr>
        <w:pStyle w:val="ListParagraph"/>
        <w:tabs>
          <w:tab w:val="clear" w:pos="708"/>
          <w:tab w:val="left" w:pos="8789" w:leader="none"/>
        </w:tabs>
        <w:jc w:val="center"/>
        <w:rPr>
          <w:rFonts w:cs="Arial"/>
          <w:color w:val="000000" w:themeColor="text1"/>
          <w:sz w:val="20"/>
          <w:szCs w:val="20"/>
        </w:rPr>
      </w:pPr>
      <w:r>
        <w:rPr>
          <w:rFonts w:cs="Arial"/>
          <w:color w:val="000000" w:themeColor="text1"/>
          <w:sz w:val="20"/>
          <w:szCs w:val="20"/>
        </w:rPr>
        <w:t>Fonte: Autor próprio (2023).</w:t>
      </w:r>
    </w:p>
    <w:p>
      <w:pPr>
        <w:pStyle w:val="ListParagraph"/>
        <w:rPr/>
      </w:pPr>
      <w:r>
        <w:rPr/>
        <w:t>No que diz respeito ao projeto elétrico, a Obra D está em conformidade com os requisitos estabelecidos. Ressalta-se que as instalações elétricas temporárias foram executadas e são mantidas de acordo com o projeto elétrico e todos os serviços de instalações elétricas são realizados por um trabalhador autorizado. Além disso, o projeto elétrico, o laudo de aterramento e o registro das inspeções, estão conforme as diretrizes da NR-18 (Brasil, 2021).</w:t>
      </w:r>
    </w:p>
    <w:p>
      <w:pPr>
        <w:pStyle w:val="ListParagraph"/>
        <w:rPr/>
      </w:pPr>
      <w:r>
        <w:rPr/>
        <w:t>Durante a visita ao canteiro de obras da Obra D, constatou-se a ausência de qualquer máquina ou equipamento em funcionamento, incluindo betoneiras, serras circulares de bancada e outros equipamentos similares. Ademais, notou-se a inexistência de andaimes ou plataformas de trabalho no local.</w:t>
      </w:r>
    </w:p>
    <w:p>
      <w:pPr>
        <w:pStyle w:val="ListParagraph"/>
        <w:rPr/>
      </w:pPr>
      <w:r>
        <w:rPr/>
        <w:t xml:space="preserve">Em relação às medidas de prevenção contra quedas de altura, a Obra D instalou guarda-corpos e efetuou a sinalização em todas as áreas onde existe o risco potencial de quedas., conforme demonstrado na </w:t>
      </w:r>
      <w:r>
        <w:rPr/>
        <w:fldChar w:fldCharType="begin"/>
      </w:r>
      <w:r>
        <w:rPr/>
        <w:instrText> REF _Ref148893404 \h </w:instrText>
      </w:r>
      <w:r>
        <w:rPr/>
        <w:fldChar w:fldCharType="separate"/>
      </w:r>
      <w:r>
        <w:rPr/>
        <w:t>Figura 81</w:t>
      </w:r>
      <w:r>
        <w:rPr/>
        <w:fldChar w:fldCharType="end"/>
      </w:r>
      <w:r>
        <w:rPr/>
        <w:t>.</w:t>
      </w:r>
    </w:p>
    <w:p>
      <w:pPr>
        <w:pStyle w:val="Normal"/>
        <w:rPr/>
      </w:pPr>
      <w:r>
        <w:rPr/>
      </w:r>
    </w:p>
    <w:p>
      <w:pPr>
        <w:pStyle w:val="EstiloLegenda"/>
        <w:rPr/>
      </w:pPr>
      <w:bookmarkStart w:id="265" w:name="_Toc153611364"/>
      <w:bookmarkStart w:id="266" w:name="_Ref148893404"/>
      <w:r>
        <w:rPr/>
        <w:t xml:space="preserve">Figura </w:t>
      </w:r>
      <w:r>
        <w:rPr/>
        <w:fldChar w:fldCharType="begin"/>
      </w:r>
      <w:r>
        <w:rPr/>
        <w:instrText> SEQ Figura \* ARABIC </w:instrText>
      </w:r>
      <w:r>
        <w:rPr/>
        <w:fldChar w:fldCharType="separate"/>
      </w:r>
      <w:r>
        <w:rPr/>
        <w:t>81</w:t>
      </w:r>
      <w:r>
        <w:rPr/>
        <w:fldChar w:fldCharType="end"/>
      </w:r>
      <w:bookmarkEnd w:id="266"/>
      <w:r>
        <w:rPr/>
        <w:t xml:space="preserve"> - Instalação de guarda-corpo - Obra D.</w:t>
      </w:r>
      <w:bookmarkEnd w:id="265"/>
    </w:p>
    <w:p>
      <w:pPr>
        <w:pStyle w:val="ListParagraph"/>
        <w:ind w:hanging="0"/>
        <w:jc w:val="center"/>
        <w:rPr>
          <w:rFonts w:cs="Arial"/>
          <w:color w:val="000000" w:themeColor="text1"/>
          <w:sz w:val="20"/>
          <w:szCs w:val="20"/>
        </w:rPr>
      </w:pPr>
      <w:r>
        <w:rPr/>
        <w:drawing>
          <wp:inline distT="0" distB="0" distL="0" distR="0">
            <wp:extent cx="4330700" cy="3096895"/>
            <wp:effectExtent l="0" t="0" r="0" b="0"/>
            <wp:docPr id="92" name="Figura4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Figura48" descr=""/>
                    <pic:cNvPicPr>
                      <a:picLocks noChangeAspect="1" noChangeArrowheads="1"/>
                    </pic:cNvPicPr>
                  </pic:nvPicPr>
                  <pic:blipFill>
                    <a:blip r:embed="rId93"/>
                    <a:stretch>
                      <a:fillRect/>
                    </a:stretch>
                  </pic:blipFill>
                  <pic:spPr bwMode="auto">
                    <a:xfrm>
                      <a:off x="0" y="0"/>
                      <a:ext cx="4330700" cy="3096895"/>
                    </a:xfrm>
                    <a:prstGeom prst="rect">
                      <a:avLst/>
                    </a:prstGeom>
                  </pic:spPr>
                </pic:pic>
              </a:graphicData>
            </a:graphic>
          </wp:inline>
        </w:drawing>
      </w:r>
    </w:p>
    <w:p>
      <w:pPr>
        <w:pStyle w:val="ListParagraph"/>
        <w:tabs>
          <w:tab w:val="clear" w:pos="708"/>
          <w:tab w:val="left" w:pos="8789" w:leader="none"/>
        </w:tabs>
        <w:jc w:val="center"/>
        <w:rPr>
          <w:rFonts w:cs="Arial"/>
          <w:color w:val="000000" w:themeColor="text1"/>
          <w:sz w:val="20"/>
          <w:szCs w:val="20"/>
        </w:rPr>
      </w:pPr>
      <w:r>
        <w:rPr>
          <w:rFonts w:cs="Arial"/>
          <w:color w:val="000000" w:themeColor="text1"/>
          <w:sz w:val="20"/>
          <w:szCs w:val="20"/>
        </w:rPr>
        <w:t>Fonte: Autor próprio (2023).</w:t>
      </w:r>
    </w:p>
    <w:p>
      <w:pPr>
        <w:pStyle w:val="ListParagraph"/>
        <w:tabs>
          <w:tab w:val="clear" w:pos="708"/>
          <w:tab w:val="left" w:pos="8789" w:leader="none"/>
        </w:tabs>
        <w:jc w:val="center"/>
        <w:rPr>
          <w:rFonts w:cs="Arial"/>
          <w:color w:val="000000" w:themeColor="text1"/>
          <w:sz w:val="20"/>
          <w:szCs w:val="20"/>
        </w:rPr>
      </w:pPr>
      <w:r>
        <w:rPr>
          <w:rFonts w:cs="Arial"/>
          <w:color w:val="000000" w:themeColor="text1"/>
          <w:sz w:val="20"/>
          <w:szCs w:val="20"/>
        </w:rPr>
      </w:r>
    </w:p>
    <w:p>
      <w:pPr>
        <w:pStyle w:val="ListParagraph"/>
        <w:ind w:firstLine="708"/>
        <w:rPr/>
      </w:pPr>
      <w:r>
        <w:rPr/>
        <w:t>Foi constatado que todos os colaboradores receberam treinamento em conformidade com a NR-18, e verificou-se a existência de avaliações para mensurar o conhecimento adquirido por eles (Brasil, 2021). Vale ressaltar que não foram fornecidas imagens dos certificados e das avaliações, uma vez que esses documentos são de natureza interna da empresa. Além disso, tais registros incluem informações pessoais, como o nome do colaborador, sua função, o nome da empresa e do empreendimento.</w:t>
      </w:r>
    </w:p>
    <w:p>
      <w:pPr>
        <w:pStyle w:val="ListParagraph"/>
        <w:rPr/>
      </w:pPr>
      <w:r>
        <w:rPr/>
        <w:t xml:space="preserve">Quanto à identificação dos quadros de distribuição das instalações elétricas, a maioria deles estava devidamente identificada e sinalizada em relação aos potenciais riscos elétricos, como evidenciado na </w:t>
      </w:r>
      <w:r>
        <w:rPr/>
        <w:fldChar w:fldCharType="begin"/>
      </w:r>
      <w:r>
        <w:rPr/>
        <w:instrText> REF _Ref148893698 \h </w:instrText>
      </w:r>
      <w:r>
        <w:rPr/>
        <w:fldChar w:fldCharType="separate"/>
      </w:r>
      <w:r>
        <w:rPr/>
        <w:t>Figura 82</w:t>
      </w:r>
      <w:r>
        <w:rPr/>
        <w:fldChar w:fldCharType="end"/>
      </w:r>
      <w:r>
        <w:rPr/>
        <w:t xml:space="preserve">. Além disso, os circuitos dos quadros de distribuição das instalações elétricas também foram devidamente identificados, conforme ilustrado na </w:t>
      </w:r>
      <w:r>
        <w:rPr/>
        <w:fldChar w:fldCharType="begin"/>
      </w:r>
      <w:r>
        <w:rPr/>
        <w:instrText> REF _Ref148893706 \h </w:instrText>
      </w:r>
      <w:r>
        <w:rPr/>
        <w:fldChar w:fldCharType="separate"/>
      </w:r>
      <w:r>
        <w:rPr/>
        <w:t>Figura 83</w:t>
      </w:r>
      <w:r>
        <w:rPr/>
        <w:fldChar w:fldCharType="end"/>
      </w:r>
      <w:r>
        <w:rPr/>
        <w:t>.</w:t>
      </w:r>
    </w:p>
    <w:p>
      <w:pPr>
        <w:pStyle w:val="Normal"/>
        <w:rPr/>
      </w:pPr>
      <w:r>
        <w:rPr/>
      </w:r>
    </w:p>
    <w:p>
      <w:pPr>
        <w:pStyle w:val="EstiloLegenda"/>
        <w:rPr/>
      </w:pPr>
      <w:bookmarkStart w:id="267" w:name="_Toc153611365"/>
      <w:bookmarkStart w:id="268" w:name="_Ref148893698"/>
      <w:r>
        <w:rPr/>
        <w:t xml:space="preserve">Figura </w:t>
      </w:r>
      <w:r>
        <w:rPr/>
        <w:fldChar w:fldCharType="begin"/>
      </w:r>
      <w:r>
        <w:rPr/>
        <w:instrText> SEQ Figura \* ARABIC </w:instrText>
      </w:r>
      <w:r>
        <w:rPr/>
        <w:fldChar w:fldCharType="separate"/>
      </w:r>
      <w:r>
        <w:rPr/>
        <w:t>82</w:t>
      </w:r>
      <w:r>
        <w:rPr/>
        <w:fldChar w:fldCharType="end"/>
      </w:r>
      <w:bookmarkEnd w:id="268"/>
      <w:r>
        <w:rPr/>
        <w:t xml:space="preserve"> - Quadro de distribuição das instalações elétricas - Obra D.</w:t>
      </w:r>
      <w:bookmarkEnd w:id="267"/>
    </w:p>
    <w:p>
      <w:pPr>
        <w:pStyle w:val="ListParagraph"/>
        <w:ind w:hanging="0"/>
        <w:jc w:val="center"/>
        <w:rPr/>
      </w:pPr>
      <w:r>
        <w:rPr/>
        <w:drawing>
          <wp:inline distT="0" distB="0" distL="0" distR="0">
            <wp:extent cx="4330700" cy="2924175"/>
            <wp:effectExtent l="0" t="0" r="0" b="0"/>
            <wp:docPr id="93" name="Imagem 5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Imagem 51" descr=""/>
                    <pic:cNvPicPr>
                      <a:picLocks noChangeAspect="1" noChangeArrowheads="1"/>
                    </pic:cNvPicPr>
                  </pic:nvPicPr>
                  <pic:blipFill>
                    <a:blip r:embed="rId94"/>
                    <a:stretch>
                      <a:fillRect/>
                    </a:stretch>
                  </pic:blipFill>
                  <pic:spPr bwMode="auto">
                    <a:xfrm>
                      <a:off x="0" y="0"/>
                      <a:ext cx="4330700" cy="2924175"/>
                    </a:xfrm>
                    <a:prstGeom prst="rect">
                      <a:avLst/>
                    </a:prstGeom>
                  </pic:spPr>
                </pic:pic>
              </a:graphicData>
            </a:graphic>
          </wp:inline>
        </w:drawing>
      </w:r>
    </w:p>
    <w:p>
      <w:pPr>
        <w:pStyle w:val="ListParagraph"/>
        <w:tabs>
          <w:tab w:val="clear" w:pos="708"/>
          <w:tab w:val="left" w:pos="8789" w:leader="none"/>
        </w:tabs>
        <w:jc w:val="center"/>
        <w:rPr>
          <w:rFonts w:cs="Arial"/>
          <w:color w:val="000000" w:themeColor="text1"/>
          <w:sz w:val="20"/>
          <w:szCs w:val="20"/>
        </w:rPr>
      </w:pPr>
      <w:r>
        <w:rPr>
          <w:rFonts w:cs="Arial"/>
          <w:color w:val="000000" w:themeColor="text1"/>
          <w:sz w:val="20"/>
          <w:szCs w:val="20"/>
        </w:rPr>
        <w:t>Fonte: Autor próprio (2023).</w:t>
      </w:r>
    </w:p>
    <w:p>
      <w:pPr>
        <w:pStyle w:val="EstiloLegenda"/>
        <w:jc w:val="both"/>
        <w:rPr/>
      </w:pPr>
      <w:r>
        <w:rPr/>
      </w:r>
    </w:p>
    <w:p>
      <w:pPr>
        <w:pStyle w:val="EstiloLegenda"/>
        <w:rPr/>
      </w:pPr>
      <w:bookmarkStart w:id="269" w:name="_Toc153611366"/>
      <w:bookmarkStart w:id="270" w:name="_Ref148893706"/>
      <w:r>
        <w:rPr/>
        <w:t xml:space="preserve">Figura </w:t>
      </w:r>
      <w:r>
        <w:rPr/>
        <w:fldChar w:fldCharType="begin"/>
      </w:r>
      <w:r>
        <w:rPr/>
        <w:instrText> SEQ Figura \* ARABIC </w:instrText>
      </w:r>
      <w:r>
        <w:rPr/>
        <w:fldChar w:fldCharType="separate"/>
      </w:r>
      <w:r>
        <w:rPr/>
        <w:t>83</w:t>
      </w:r>
      <w:r>
        <w:rPr/>
        <w:fldChar w:fldCharType="end"/>
      </w:r>
      <w:bookmarkEnd w:id="270"/>
      <w:r>
        <w:rPr/>
        <w:t xml:space="preserve"> - Identificação dos circuitos - Obra D.</w:t>
      </w:r>
      <w:bookmarkEnd w:id="269"/>
    </w:p>
    <w:p>
      <w:pPr>
        <w:pStyle w:val="ListParagraph"/>
        <w:ind w:hanging="0"/>
        <w:jc w:val="center"/>
        <w:rPr/>
      </w:pPr>
      <w:r>
        <w:rPr/>
        <w:drawing>
          <wp:inline distT="0" distB="0" distL="0" distR="0">
            <wp:extent cx="4330700" cy="2850515"/>
            <wp:effectExtent l="0" t="0" r="0" b="0"/>
            <wp:docPr id="94" name="Figura4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Figura49" descr=""/>
                    <pic:cNvPicPr>
                      <a:picLocks noChangeAspect="1" noChangeArrowheads="1"/>
                    </pic:cNvPicPr>
                  </pic:nvPicPr>
                  <pic:blipFill>
                    <a:blip r:embed="rId95"/>
                    <a:stretch>
                      <a:fillRect/>
                    </a:stretch>
                  </pic:blipFill>
                  <pic:spPr bwMode="auto">
                    <a:xfrm>
                      <a:off x="0" y="0"/>
                      <a:ext cx="4330700" cy="2850515"/>
                    </a:xfrm>
                    <a:prstGeom prst="rect">
                      <a:avLst/>
                    </a:prstGeom>
                  </pic:spPr>
                </pic:pic>
              </a:graphicData>
            </a:graphic>
          </wp:inline>
        </w:drawing>
      </w:r>
    </w:p>
    <w:p>
      <w:pPr>
        <w:pStyle w:val="ListParagraph"/>
        <w:tabs>
          <w:tab w:val="clear" w:pos="708"/>
          <w:tab w:val="left" w:pos="8789" w:leader="none"/>
        </w:tabs>
        <w:jc w:val="center"/>
        <w:rPr>
          <w:rFonts w:cs="Arial"/>
          <w:color w:val="000000" w:themeColor="text1"/>
          <w:sz w:val="20"/>
          <w:szCs w:val="20"/>
        </w:rPr>
      </w:pPr>
      <w:r>
        <w:rPr>
          <w:rFonts w:cs="Arial"/>
          <w:color w:val="000000" w:themeColor="text1"/>
          <w:sz w:val="20"/>
          <w:szCs w:val="20"/>
        </w:rPr>
        <w:t>Fonte: Autor próprio (2023).</w:t>
      </w:r>
    </w:p>
    <w:p>
      <w:pPr>
        <w:pStyle w:val="ListParagraph"/>
        <w:tabs>
          <w:tab w:val="clear" w:pos="708"/>
          <w:tab w:val="left" w:pos="8789" w:leader="none"/>
        </w:tabs>
        <w:rPr/>
      </w:pPr>
      <w:r>
        <w:rPr/>
        <w:t xml:space="preserve">Durante a inspeção no canteiro de obras, deparou-se com um quadro de comando desprovido de identificação e de qualquer sinalização relacionada ao risco elétrico, como demonstrado na </w:t>
      </w:r>
      <w:r>
        <w:rPr/>
        <w:fldChar w:fldCharType="begin"/>
      </w:r>
      <w:r>
        <w:rPr/>
        <w:instrText> REF _Ref148893878 \h </w:instrText>
      </w:r>
      <w:r>
        <w:rPr/>
        <w:fldChar w:fldCharType="separate"/>
      </w:r>
      <w:r>
        <w:rPr/>
        <w:t>Figura 84</w:t>
      </w:r>
      <w:r>
        <w:rPr/>
        <w:fldChar w:fldCharType="end"/>
      </w:r>
      <w:r>
        <w:rPr/>
        <w:t>.</w:t>
      </w:r>
    </w:p>
    <w:p>
      <w:pPr>
        <w:pStyle w:val="ListParagraph"/>
        <w:tabs>
          <w:tab w:val="clear" w:pos="708"/>
          <w:tab w:val="left" w:pos="8789" w:leader="none"/>
        </w:tabs>
        <w:rPr/>
      </w:pPr>
      <w:r>
        <w:rPr/>
      </w:r>
    </w:p>
    <w:p>
      <w:pPr>
        <w:pStyle w:val="EstiloLegenda"/>
        <w:rPr/>
      </w:pPr>
      <w:bookmarkStart w:id="271" w:name="_Toc153611367"/>
      <w:bookmarkStart w:id="272" w:name="_Ref148893878"/>
      <w:r>
        <w:rPr/>
        <w:t xml:space="preserve">Figura </w:t>
      </w:r>
      <w:r>
        <w:rPr/>
        <w:fldChar w:fldCharType="begin"/>
      </w:r>
      <w:r>
        <w:rPr/>
        <w:instrText> SEQ Figura \* ARABIC </w:instrText>
      </w:r>
      <w:r>
        <w:rPr/>
        <w:fldChar w:fldCharType="separate"/>
      </w:r>
      <w:r>
        <w:rPr/>
        <w:t>84</w:t>
      </w:r>
      <w:r>
        <w:rPr/>
        <w:fldChar w:fldCharType="end"/>
      </w:r>
      <w:bookmarkEnd w:id="272"/>
      <w:r>
        <w:rPr/>
        <w:t xml:space="preserve"> - Quadro sem sinalização quanto ao risco elétrico.</w:t>
      </w:r>
      <w:bookmarkEnd w:id="271"/>
    </w:p>
    <w:p>
      <w:pPr>
        <w:pStyle w:val="ListParagraph"/>
        <w:ind w:hanging="0"/>
        <w:jc w:val="center"/>
        <w:rPr>
          <w:rFonts w:cs="Arial"/>
          <w:color w:val="000000" w:themeColor="text1"/>
          <w:sz w:val="20"/>
          <w:szCs w:val="20"/>
        </w:rPr>
      </w:pPr>
      <w:r>
        <w:rPr/>
        <w:drawing>
          <wp:inline distT="0" distB="0" distL="0" distR="0">
            <wp:extent cx="4697730" cy="4578350"/>
            <wp:effectExtent l="0" t="0" r="0" b="0"/>
            <wp:docPr id="95" name="Figura5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Figura50" descr=""/>
                    <pic:cNvPicPr>
                      <a:picLocks noChangeAspect="1" noChangeArrowheads="1"/>
                    </pic:cNvPicPr>
                  </pic:nvPicPr>
                  <pic:blipFill>
                    <a:blip r:embed="rId96"/>
                    <a:stretch>
                      <a:fillRect/>
                    </a:stretch>
                  </pic:blipFill>
                  <pic:spPr bwMode="auto">
                    <a:xfrm>
                      <a:off x="0" y="0"/>
                      <a:ext cx="4697730" cy="4578350"/>
                    </a:xfrm>
                    <a:prstGeom prst="rect">
                      <a:avLst/>
                    </a:prstGeom>
                  </pic:spPr>
                </pic:pic>
              </a:graphicData>
            </a:graphic>
          </wp:inline>
        </w:drawing>
      </w:r>
    </w:p>
    <w:p>
      <w:pPr>
        <w:pStyle w:val="ListParagraph"/>
        <w:tabs>
          <w:tab w:val="clear" w:pos="708"/>
          <w:tab w:val="left" w:pos="8789" w:leader="none"/>
        </w:tabs>
        <w:jc w:val="center"/>
        <w:rPr>
          <w:rFonts w:cs="Arial"/>
          <w:color w:val="000000" w:themeColor="text1"/>
          <w:sz w:val="20"/>
          <w:szCs w:val="20"/>
        </w:rPr>
      </w:pPr>
      <w:r>
        <w:rPr>
          <w:rFonts w:cs="Arial"/>
          <w:color w:val="000000" w:themeColor="text1"/>
          <w:sz w:val="20"/>
          <w:szCs w:val="20"/>
        </w:rPr>
        <w:t>Fonte: Autor próprio (2023).</w:t>
      </w:r>
    </w:p>
    <w:p>
      <w:pPr>
        <w:pStyle w:val="ListParagraph"/>
        <w:tabs>
          <w:tab w:val="clear" w:pos="708"/>
          <w:tab w:val="left" w:pos="8789" w:leader="none"/>
        </w:tabs>
        <w:jc w:val="center"/>
        <w:rPr>
          <w:rFonts w:cs="Arial"/>
          <w:color w:val="000000" w:themeColor="text1"/>
          <w:sz w:val="20"/>
          <w:szCs w:val="20"/>
        </w:rPr>
      </w:pPr>
      <w:r>
        <w:rPr>
          <w:rFonts w:cs="Arial"/>
          <w:color w:val="000000" w:themeColor="text1"/>
          <w:sz w:val="20"/>
          <w:szCs w:val="20"/>
        </w:rPr>
      </w:r>
    </w:p>
    <w:p>
      <w:pPr>
        <w:pStyle w:val="ListParagraph"/>
        <w:rPr/>
      </w:pPr>
      <w:r>
        <w:rPr/>
        <w:t xml:space="preserve">Da mesma forma que nas Obras A e B, a Obra D identificou uma situação de não conformidade em relação aos condutores elétricos em local inadequado, conforme ilustrado na </w:t>
      </w:r>
      <w:r>
        <w:rPr/>
        <w:fldChar w:fldCharType="begin"/>
      </w:r>
      <w:r>
        <w:rPr/>
        <w:instrText> REF _Ref148894602 \h </w:instrText>
      </w:r>
      <w:r>
        <w:rPr/>
        <w:fldChar w:fldCharType="separate"/>
      </w:r>
      <w:r>
        <w:rPr/>
        <w:t>Figura 85</w:t>
      </w:r>
      <w:r>
        <w:rPr/>
        <w:fldChar w:fldCharType="end"/>
      </w:r>
      <w:r>
        <w:rPr/>
        <w:t>. A extensão elétrica se estendia aérea até certo ponto, mas devido à falta de suporte, estava deixada no chão próximo ao local onde a serra circular manual estava sendo utilizada. Além disso, a serra circular manual estava conectada à eletricidade, e durante a inspeção, não havia nenhum colaborador nas proximidades ou fazendo uso dela, o que representa um risco para o uso não autorizado por outros colaboradores.</w:t>
      </w:r>
    </w:p>
    <w:p>
      <w:pPr>
        <w:pStyle w:val="Normal"/>
        <w:rPr/>
      </w:pPr>
      <w:r>
        <w:rPr/>
      </w:r>
    </w:p>
    <w:p>
      <w:pPr>
        <w:pStyle w:val="ListParagraph"/>
        <w:rPr/>
      </w:pPr>
      <w:r>
        <w:rPr/>
      </w:r>
    </w:p>
    <w:p>
      <w:pPr>
        <w:pStyle w:val="EstiloLegenda"/>
        <w:rPr/>
      </w:pPr>
      <w:bookmarkStart w:id="273" w:name="_Toc153611368"/>
      <w:bookmarkStart w:id="274" w:name="_Ref148894602"/>
      <w:r>
        <w:rPr/>
        <w:t xml:space="preserve">Figura </w:t>
      </w:r>
      <w:r>
        <w:rPr/>
        <w:fldChar w:fldCharType="begin"/>
      </w:r>
      <w:r>
        <w:rPr/>
        <w:instrText> SEQ Figura \* ARABIC </w:instrText>
      </w:r>
      <w:r>
        <w:rPr/>
        <w:fldChar w:fldCharType="separate"/>
      </w:r>
      <w:r>
        <w:rPr/>
        <w:t>85</w:t>
      </w:r>
      <w:r>
        <w:rPr/>
        <w:fldChar w:fldCharType="end"/>
      </w:r>
      <w:bookmarkEnd w:id="274"/>
      <w:r>
        <w:rPr/>
        <w:t xml:space="preserve"> - Extensão conectada à rede elétrica no chão - Obra D.</w:t>
      </w:r>
      <w:bookmarkEnd w:id="273"/>
    </w:p>
    <w:p>
      <w:pPr>
        <w:pStyle w:val="Normal"/>
        <w:tabs>
          <w:tab w:val="clear" w:pos="708"/>
          <w:tab w:val="left" w:pos="8789" w:leader="none"/>
        </w:tabs>
        <w:jc w:val="center"/>
        <w:rPr>
          <w:rFonts w:cs="Arial"/>
          <w:color w:val="000000" w:themeColor="text1"/>
          <w:sz w:val="20"/>
          <w:szCs w:val="20"/>
        </w:rPr>
      </w:pPr>
      <w:r>
        <w:rPr/>
        <w:drawing>
          <wp:inline distT="0" distB="0" distL="0" distR="0">
            <wp:extent cx="4330700" cy="2759710"/>
            <wp:effectExtent l="0" t="0" r="0" b="0"/>
            <wp:docPr id="96" name="Figura5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Figura51" descr=""/>
                    <pic:cNvPicPr>
                      <a:picLocks noChangeAspect="1" noChangeArrowheads="1"/>
                    </pic:cNvPicPr>
                  </pic:nvPicPr>
                  <pic:blipFill>
                    <a:blip r:embed="rId97"/>
                    <a:stretch>
                      <a:fillRect/>
                    </a:stretch>
                  </pic:blipFill>
                  <pic:spPr bwMode="auto">
                    <a:xfrm>
                      <a:off x="0" y="0"/>
                      <a:ext cx="4330700" cy="2759710"/>
                    </a:xfrm>
                    <a:prstGeom prst="rect">
                      <a:avLst/>
                    </a:prstGeom>
                  </pic:spPr>
                </pic:pic>
              </a:graphicData>
            </a:graphic>
          </wp:inline>
        </w:drawing>
      </w:r>
    </w:p>
    <w:p>
      <w:pPr>
        <w:pStyle w:val="Normal"/>
        <w:tabs>
          <w:tab w:val="clear" w:pos="708"/>
          <w:tab w:val="left" w:pos="8789" w:leader="none"/>
        </w:tabs>
        <w:rPr>
          <w:rFonts w:cs="Arial"/>
          <w:color w:val="000000" w:themeColor="text1"/>
          <w:sz w:val="20"/>
          <w:szCs w:val="20"/>
        </w:rPr>
      </w:pPr>
      <w:r>
        <w:rPr>
          <w:rFonts w:cs="Arial"/>
          <w:color w:val="000000" w:themeColor="text1"/>
          <w:sz w:val="20"/>
          <w:szCs w:val="20"/>
        </w:rPr>
      </w:r>
    </w:p>
    <w:p>
      <w:pPr>
        <w:pStyle w:val="ListParagraph"/>
        <w:tabs>
          <w:tab w:val="clear" w:pos="708"/>
          <w:tab w:val="left" w:pos="8789" w:leader="none"/>
        </w:tabs>
        <w:jc w:val="center"/>
        <w:rPr>
          <w:rFonts w:cs="Arial"/>
          <w:color w:val="000000" w:themeColor="text1"/>
          <w:sz w:val="20"/>
          <w:szCs w:val="20"/>
        </w:rPr>
      </w:pPr>
      <w:r>
        <w:rPr>
          <w:rFonts w:cs="Arial"/>
          <w:color w:val="000000" w:themeColor="text1"/>
          <w:sz w:val="20"/>
          <w:szCs w:val="20"/>
        </w:rPr>
        <w:t>Fonte: Autor próprio (2023).</w:t>
      </w:r>
    </w:p>
    <w:p>
      <w:pPr>
        <w:pStyle w:val="Normal"/>
        <w:tabs>
          <w:tab w:val="clear" w:pos="708"/>
          <w:tab w:val="left" w:pos="8789" w:leader="none"/>
        </w:tabs>
        <w:rPr>
          <w:rFonts w:cs="Arial"/>
          <w:color w:val="000000" w:themeColor="text1"/>
          <w:sz w:val="20"/>
          <w:szCs w:val="20"/>
        </w:rPr>
      </w:pPr>
      <w:r>
        <w:rPr>
          <w:rFonts w:cs="Arial"/>
          <w:color w:val="000000" w:themeColor="text1"/>
          <w:sz w:val="20"/>
          <w:szCs w:val="20"/>
        </w:rPr>
      </w:r>
    </w:p>
    <w:p>
      <w:pPr>
        <w:pStyle w:val="ListParagraph"/>
        <w:rPr/>
      </w:pPr>
      <w:r>
        <w:rPr/>
        <w:t xml:space="preserve">Conforme evidenciado na </w:t>
      </w:r>
      <w:r>
        <w:rPr/>
        <w:fldChar w:fldCharType="begin"/>
      </w:r>
      <w:r>
        <w:rPr/>
        <w:instrText> REF _Ref148895450 \h </w:instrText>
      </w:r>
      <w:r>
        <w:rPr/>
        <w:fldChar w:fldCharType="separate"/>
      </w:r>
      <w:r>
        <w:rPr/>
        <w:t>Figura 86</w:t>
      </w:r>
      <w:r>
        <w:rPr/>
        <w:fldChar w:fldCharType="end"/>
      </w:r>
      <w:r>
        <w:rPr/>
        <w:t xml:space="preserve">, na Obra D, observa-se a presença de material espalhado no chão nas áreas de passagem, o que representa uma não conformidade em relação à NR-18. </w:t>
      </w:r>
    </w:p>
    <w:p>
      <w:pPr>
        <w:pStyle w:val="Normal"/>
        <w:rPr/>
      </w:pPr>
      <w:r>
        <w:rPr/>
      </w:r>
    </w:p>
    <w:p>
      <w:pPr>
        <w:pStyle w:val="EstiloLegenda"/>
        <w:rPr/>
      </w:pPr>
      <w:bookmarkStart w:id="275" w:name="_Toc153611369"/>
      <w:bookmarkStart w:id="276" w:name="_Ref148895450"/>
      <w:r>
        <w:rPr/>
        <w:t xml:space="preserve">Figura </w:t>
      </w:r>
      <w:r>
        <w:rPr/>
        <w:fldChar w:fldCharType="begin"/>
      </w:r>
      <w:r>
        <w:rPr/>
        <w:instrText> SEQ Figura \* ARABIC </w:instrText>
      </w:r>
      <w:r>
        <w:rPr/>
        <w:fldChar w:fldCharType="separate"/>
      </w:r>
      <w:r>
        <w:rPr/>
        <w:t>86</w:t>
      </w:r>
      <w:r>
        <w:rPr/>
        <w:fldChar w:fldCharType="end"/>
      </w:r>
      <w:bookmarkEnd w:id="276"/>
      <w:r>
        <w:rPr/>
        <w:t xml:space="preserve"> - Materiais fora de lugar e em local de passagem - Obra D.</w:t>
      </w:r>
      <w:bookmarkEnd w:id="275"/>
    </w:p>
    <w:p>
      <w:pPr>
        <w:pStyle w:val="ListParagraph"/>
        <w:ind w:hanging="0"/>
        <w:jc w:val="center"/>
        <w:rPr/>
      </w:pPr>
      <w:r>
        <w:rPr/>
        <w:drawing>
          <wp:inline distT="0" distB="0" distL="0" distR="0">
            <wp:extent cx="4330700" cy="3060065"/>
            <wp:effectExtent l="0" t="0" r="0" b="0"/>
            <wp:docPr id="97" name="Figura5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Figura52" descr=""/>
                    <pic:cNvPicPr>
                      <a:picLocks noChangeAspect="1" noChangeArrowheads="1"/>
                    </pic:cNvPicPr>
                  </pic:nvPicPr>
                  <pic:blipFill>
                    <a:blip r:embed="rId98"/>
                    <a:stretch>
                      <a:fillRect/>
                    </a:stretch>
                  </pic:blipFill>
                  <pic:spPr bwMode="auto">
                    <a:xfrm>
                      <a:off x="0" y="0"/>
                      <a:ext cx="4330700" cy="3060065"/>
                    </a:xfrm>
                    <a:prstGeom prst="rect">
                      <a:avLst/>
                    </a:prstGeom>
                  </pic:spPr>
                </pic:pic>
              </a:graphicData>
            </a:graphic>
          </wp:inline>
        </w:drawing>
      </w:r>
    </w:p>
    <w:p>
      <w:pPr>
        <w:pStyle w:val="ListParagraph"/>
        <w:tabs>
          <w:tab w:val="clear" w:pos="708"/>
          <w:tab w:val="left" w:pos="8789" w:leader="none"/>
        </w:tabs>
        <w:jc w:val="center"/>
        <w:rPr>
          <w:rFonts w:cs="Arial"/>
          <w:color w:val="000000" w:themeColor="text1"/>
          <w:sz w:val="20"/>
          <w:szCs w:val="20"/>
        </w:rPr>
      </w:pPr>
      <w:r>
        <w:rPr>
          <w:rFonts w:cs="Arial"/>
          <w:color w:val="000000" w:themeColor="text1"/>
          <w:sz w:val="20"/>
          <w:szCs w:val="20"/>
        </w:rPr>
        <w:t>Fonte: Autor próprio (2023).</w:t>
      </w:r>
    </w:p>
    <w:p>
      <w:pPr>
        <w:pStyle w:val="ListParagraph"/>
        <w:tabs>
          <w:tab w:val="clear" w:pos="708"/>
          <w:tab w:val="left" w:pos="8789" w:leader="none"/>
        </w:tabs>
        <w:jc w:val="center"/>
        <w:rPr>
          <w:rFonts w:cs="Arial"/>
          <w:color w:val="000000" w:themeColor="text1"/>
          <w:sz w:val="20"/>
          <w:szCs w:val="20"/>
        </w:rPr>
      </w:pPr>
      <w:r>
        <w:rPr>
          <w:rFonts w:cs="Arial"/>
          <w:color w:val="000000" w:themeColor="text1"/>
          <w:sz w:val="20"/>
          <w:szCs w:val="20"/>
        </w:rPr>
      </w:r>
    </w:p>
    <w:p>
      <w:pPr>
        <w:pStyle w:val="ListParagraph"/>
        <w:rPr/>
      </w:pPr>
      <w:r>
        <w:rPr/>
        <w:t>De acordo com a norma, o canteiro de obras deve ser mantido organizado, limpo e desobstruído, especialmente nas vias de passagem (Brasil, 2021).</w:t>
      </w:r>
    </w:p>
    <w:p>
      <w:pPr>
        <w:pStyle w:val="ListParagraph"/>
        <w:rPr/>
      </w:pPr>
      <w:r>
        <w:rPr/>
        <w:t xml:space="preserve">Neste sentido, o </w:t>
      </w:r>
      <w:r>
        <w:rPr/>
        <w:fldChar w:fldCharType="begin"/>
      </w:r>
      <w:r>
        <w:rPr/>
        <w:instrText> REF _Ref148897238 \h </w:instrText>
      </w:r>
      <w:r>
        <w:rPr/>
        <w:fldChar w:fldCharType="separate"/>
      </w:r>
      <w:r>
        <w:rPr/>
        <w:t>Quadro 8</w:t>
      </w:r>
      <w:r>
        <w:rPr/>
        <w:fldChar w:fldCharType="end"/>
      </w:r>
      <w:r>
        <w:rPr/>
        <w:t xml:space="preserve"> apresenta a quantidade total de itens conformes, itens não conformes, itens parciais e itens não avaliados que foram constatados na Obra D, através do </w:t>
      </w:r>
      <w:r>
        <w:rPr>
          <w:i/>
          <w:iCs/>
        </w:rPr>
        <w:t xml:space="preserve">checklist </w:t>
      </w:r>
      <w:r>
        <w:rPr/>
        <w:t xml:space="preserve">preenchido de acordo com o </w:t>
      </w:r>
      <w:r>
        <w:rPr/>
        <w:fldChar w:fldCharType="begin"/>
      </w:r>
      <w:r>
        <w:rPr/>
        <w:instrText> REF _Ref136185560 \h </w:instrText>
      </w:r>
      <w:r>
        <w:rPr/>
        <w:fldChar w:fldCharType="separate"/>
      </w:r>
      <w:r>
        <w:rPr/>
        <w:t>Quadro 1</w:t>
      </w:r>
      <w:r>
        <w:rPr/>
        <w:fldChar w:fldCharType="end"/>
      </w:r>
      <w:r>
        <w:rPr/>
        <w:t>.</w:t>
      </w:r>
    </w:p>
    <w:p>
      <w:pPr>
        <w:pStyle w:val="EstiloLegenda"/>
        <w:rPr/>
      </w:pPr>
      <w:r>
        <w:rPr/>
      </w:r>
    </w:p>
    <w:p>
      <w:pPr>
        <w:pStyle w:val="EstiloLegenda"/>
        <w:rPr/>
      </w:pPr>
      <w:bookmarkStart w:id="277" w:name="_Toc153384331"/>
      <w:bookmarkStart w:id="278" w:name="_Ref148897229"/>
      <w:bookmarkStart w:id="279" w:name="_Ref148897238"/>
      <w:r>
        <w:rPr/>
        <w:t xml:space="preserve">Quadro </w:t>
      </w:r>
      <w:r>
        <w:rPr/>
        <w:fldChar w:fldCharType="begin"/>
      </w:r>
      <w:r>
        <w:rPr/>
        <w:instrText> SEQ Quadro \* ARABIC </w:instrText>
      </w:r>
      <w:r>
        <w:rPr/>
        <w:fldChar w:fldCharType="separate"/>
      </w:r>
      <w:r>
        <w:rPr/>
        <w:t>8</w:t>
      </w:r>
      <w:r>
        <w:rPr/>
        <w:fldChar w:fldCharType="end"/>
      </w:r>
      <w:bookmarkEnd w:id="279"/>
      <w:r>
        <w:rPr/>
        <w:t xml:space="preserve"> - Totais de itens - Obra D.</w:t>
      </w:r>
      <w:bookmarkEnd w:id="277"/>
      <w:bookmarkEnd w:id="278"/>
    </w:p>
    <w:tbl>
      <w:tblPr>
        <w:tblStyle w:val="Tabelacomgrade"/>
        <w:tblW w:w="9061" w:type="dxa"/>
        <w:jc w:val="left"/>
        <w:tblInd w:w="0" w:type="dxa"/>
        <w:tblCellMar>
          <w:top w:w="0" w:type="dxa"/>
          <w:left w:w="108" w:type="dxa"/>
          <w:bottom w:w="0" w:type="dxa"/>
          <w:right w:w="108" w:type="dxa"/>
        </w:tblCellMar>
        <w:tblLook w:firstRow="1" w:noVBand="1" w:lastRow="0" w:firstColumn="1" w:lastColumn="0" w:noHBand="0" w:val="04a0"/>
      </w:tblPr>
      <w:tblGrid>
        <w:gridCol w:w="4530"/>
        <w:gridCol w:w="4530"/>
      </w:tblGrid>
      <w:tr>
        <w:trPr>
          <w:trHeight w:val="369" w:hRule="atLeast"/>
        </w:trPr>
        <w:tc>
          <w:tcPr>
            <w:tcW w:w="4530" w:type="dxa"/>
            <w:tcBorders/>
            <w:shd w:color="auto" w:fill="E7E6E6" w:themeFill="background2" w:val="clear"/>
            <w:vAlign w:val="center"/>
          </w:tcPr>
          <w:p>
            <w:pPr>
              <w:pStyle w:val="ListParagraph"/>
              <w:ind w:hanging="0"/>
              <w:jc w:val="center"/>
              <w:rPr>
                <w:b/>
                <w:b/>
                <w:bCs/>
                <w:color w:val="000000" w:themeColor="text1"/>
                <w:sz w:val="20"/>
                <w:szCs w:val="20"/>
              </w:rPr>
            </w:pPr>
            <w:r>
              <w:rPr>
                <w:b/>
                <w:bCs/>
                <w:color w:val="000000" w:themeColor="text1"/>
                <w:sz w:val="20"/>
                <w:szCs w:val="20"/>
              </w:rPr>
              <w:t xml:space="preserve">Descrição </w:t>
            </w:r>
          </w:p>
        </w:tc>
        <w:tc>
          <w:tcPr>
            <w:tcW w:w="4530" w:type="dxa"/>
            <w:tcBorders/>
            <w:shd w:color="auto" w:fill="E7E6E6" w:themeFill="background2" w:val="clear"/>
            <w:vAlign w:val="center"/>
          </w:tcPr>
          <w:p>
            <w:pPr>
              <w:pStyle w:val="ListParagraph"/>
              <w:ind w:hanging="0"/>
              <w:jc w:val="center"/>
              <w:rPr>
                <w:b/>
                <w:b/>
                <w:bCs/>
                <w:color w:val="000000" w:themeColor="text1"/>
                <w:sz w:val="20"/>
                <w:szCs w:val="20"/>
              </w:rPr>
            </w:pPr>
            <w:r>
              <w:rPr>
                <w:b/>
                <w:bCs/>
                <w:color w:val="000000" w:themeColor="text1"/>
                <w:sz w:val="20"/>
                <w:szCs w:val="20"/>
              </w:rPr>
              <w:t>Total</w:t>
            </w:r>
          </w:p>
        </w:tc>
      </w:tr>
      <w:tr>
        <w:trPr>
          <w:trHeight w:val="369" w:hRule="atLeast"/>
        </w:trPr>
        <w:tc>
          <w:tcPr>
            <w:tcW w:w="4530" w:type="dxa"/>
            <w:tcBorders/>
            <w:vAlign w:val="center"/>
          </w:tcPr>
          <w:p>
            <w:pPr>
              <w:pStyle w:val="ListParagraph"/>
              <w:ind w:hanging="0"/>
              <w:jc w:val="center"/>
              <w:rPr>
                <w:sz w:val="20"/>
                <w:szCs w:val="20"/>
              </w:rPr>
            </w:pPr>
            <w:r>
              <w:rPr>
                <w:sz w:val="20"/>
                <w:szCs w:val="20"/>
              </w:rPr>
              <w:t>Total de itens conformes</w:t>
            </w:r>
          </w:p>
        </w:tc>
        <w:tc>
          <w:tcPr>
            <w:tcW w:w="4530" w:type="dxa"/>
            <w:tcBorders/>
            <w:vAlign w:val="center"/>
          </w:tcPr>
          <w:p>
            <w:pPr>
              <w:pStyle w:val="ListParagraph"/>
              <w:ind w:hanging="0"/>
              <w:jc w:val="center"/>
              <w:rPr>
                <w:sz w:val="20"/>
                <w:szCs w:val="20"/>
              </w:rPr>
            </w:pPr>
            <w:r>
              <w:rPr>
                <w:sz w:val="20"/>
                <w:szCs w:val="20"/>
              </w:rPr>
              <w:t>32</w:t>
            </w:r>
          </w:p>
        </w:tc>
      </w:tr>
      <w:tr>
        <w:trPr>
          <w:trHeight w:val="369" w:hRule="atLeast"/>
        </w:trPr>
        <w:tc>
          <w:tcPr>
            <w:tcW w:w="4530" w:type="dxa"/>
            <w:tcBorders/>
            <w:vAlign w:val="center"/>
          </w:tcPr>
          <w:p>
            <w:pPr>
              <w:pStyle w:val="ListParagraph"/>
              <w:ind w:hanging="0"/>
              <w:jc w:val="center"/>
              <w:rPr>
                <w:sz w:val="20"/>
                <w:szCs w:val="20"/>
              </w:rPr>
            </w:pPr>
            <w:r>
              <w:rPr>
                <w:sz w:val="20"/>
                <w:szCs w:val="20"/>
              </w:rPr>
              <w:t>Total de itens não conformes</w:t>
            </w:r>
          </w:p>
        </w:tc>
        <w:tc>
          <w:tcPr>
            <w:tcW w:w="4530" w:type="dxa"/>
            <w:tcBorders/>
            <w:vAlign w:val="center"/>
          </w:tcPr>
          <w:p>
            <w:pPr>
              <w:pStyle w:val="ListParagraph"/>
              <w:ind w:hanging="0"/>
              <w:jc w:val="center"/>
              <w:rPr>
                <w:sz w:val="20"/>
                <w:szCs w:val="20"/>
              </w:rPr>
            </w:pPr>
            <w:r>
              <w:rPr>
                <w:sz w:val="20"/>
                <w:szCs w:val="20"/>
              </w:rPr>
              <w:t>2</w:t>
            </w:r>
          </w:p>
        </w:tc>
      </w:tr>
      <w:tr>
        <w:trPr>
          <w:trHeight w:val="369" w:hRule="atLeast"/>
        </w:trPr>
        <w:tc>
          <w:tcPr>
            <w:tcW w:w="4530" w:type="dxa"/>
            <w:tcBorders/>
            <w:vAlign w:val="center"/>
          </w:tcPr>
          <w:p>
            <w:pPr>
              <w:pStyle w:val="ListParagraph"/>
              <w:ind w:hanging="0"/>
              <w:jc w:val="center"/>
              <w:rPr>
                <w:sz w:val="20"/>
                <w:szCs w:val="20"/>
              </w:rPr>
            </w:pPr>
            <w:r>
              <w:rPr>
                <w:sz w:val="20"/>
                <w:szCs w:val="20"/>
              </w:rPr>
              <w:t>Total de itens parciais</w:t>
            </w:r>
          </w:p>
        </w:tc>
        <w:tc>
          <w:tcPr>
            <w:tcW w:w="4530" w:type="dxa"/>
            <w:tcBorders/>
            <w:vAlign w:val="center"/>
          </w:tcPr>
          <w:p>
            <w:pPr>
              <w:pStyle w:val="ListParagraph"/>
              <w:ind w:hanging="0"/>
              <w:jc w:val="center"/>
              <w:rPr>
                <w:sz w:val="20"/>
                <w:szCs w:val="20"/>
              </w:rPr>
            </w:pPr>
            <w:r>
              <w:rPr>
                <w:sz w:val="20"/>
                <w:szCs w:val="20"/>
              </w:rPr>
              <w:t>2</w:t>
            </w:r>
          </w:p>
        </w:tc>
      </w:tr>
      <w:tr>
        <w:trPr>
          <w:trHeight w:val="369" w:hRule="atLeast"/>
        </w:trPr>
        <w:tc>
          <w:tcPr>
            <w:tcW w:w="4530" w:type="dxa"/>
            <w:tcBorders/>
            <w:vAlign w:val="center"/>
          </w:tcPr>
          <w:p>
            <w:pPr>
              <w:pStyle w:val="ListParagraph"/>
              <w:ind w:hanging="0"/>
              <w:jc w:val="center"/>
              <w:rPr>
                <w:sz w:val="20"/>
                <w:szCs w:val="20"/>
              </w:rPr>
            </w:pPr>
            <w:r>
              <w:rPr>
                <w:sz w:val="20"/>
                <w:szCs w:val="20"/>
              </w:rPr>
              <w:t xml:space="preserve">Total de itens não avaliados </w:t>
            </w:r>
          </w:p>
        </w:tc>
        <w:tc>
          <w:tcPr>
            <w:tcW w:w="4530" w:type="dxa"/>
            <w:tcBorders/>
            <w:vAlign w:val="center"/>
          </w:tcPr>
          <w:p>
            <w:pPr>
              <w:pStyle w:val="ListParagraph"/>
              <w:ind w:hanging="0"/>
              <w:jc w:val="center"/>
              <w:rPr>
                <w:sz w:val="20"/>
                <w:szCs w:val="20"/>
              </w:rPr>
            </w:pPr>
            <w:r>
              <w:rPr>
                <w:sz w:val="20"/>
                <w:szCs w:val="20"/>
              </w:rPr>
              <w:t>3</w:t>
            </w:r>
          </w:p>
        </w:tc>
      </w:tr>
      <w:tr>
        <w:trPr>
          <w:trHeight w:val="369" w:hRule="atLeast"/>
        </w:trPr>
        <w:tc>
          <w:tcPr>
            <w:tcW w:w="4530" w:type="dxa"/>
            <w:tcBorders/>
            <w:vAlign w:val="center"/>
          </w:tcPr>
          <w:p>
            <w:pPr>
              <w:pStyle w:val="ListParagraph"/>
              <w:ind w:hanging="0"/>
              <w:jc w:val="center"/>
              <w:rPr>
                <w:rFonts w:cs="Arial"/>
                <w:color w:val="000000" w:themeColor="text1"/>
                <w:sz w:val="20"/>
                <w:szCs w:val="20"/>
              </w:rPr>
            </w:pPr>
            <w:r>
              <w:rPr>
                <w:rFonts w:cs="Arial"/>
                <w:color w:val="000000" w:themeColor="text1"/>
                <w:sz w:val="20"/>
                <w:szCs w:val="20"/>
              </w:rPr>
              <w:t>Total de itens constantes no checklist</w:t>
            </w:r>
          </w:p>
        </w:tc>
        <w:tc>
          <w:tcPr>
            <w:tcW w:w="4530" w:type="dxa"/>
            <w:tcBorders/>
            <w:vAlign w:val="center"/>
          </w:tcPr>
          <w:p>
            <w:pPr>
              <w:pStyle w:val="ListParagraph"/>
              <w:ind w:hanging="0"/>
              <w:jc w:val="center"/>
              <w:rPr>
                <w:rFonts w:cs="Arial"/>
                <w:color w:val="000000" w:themeColor="text1"/>
                <w:sz w:val="20"/>
                <w:szCs w:val="20"/>
              </w:rPr>
            </w:pPr>
            <w:r>
              <w:rPr>
                <w:rFonts w:cs="Arial"/>
                <w:color w:val="000000" w:themeColor="text1"/>
                <w:sz w:val="20"/>
                <w:szCs w:val="20"/>
              </w:rPr>
              <w:t>39</w:t>
            </w:r>
          </w:p>
        </w:tc>
      </w:tr>
    </w:tbl>
    <w:p>
      <w:pPr>
        <w:pStyle w:val="ListParagraph"/>
        <w:spacing w:before="120" w:after="0"/>
        <w:ind w:hanging="0"/>
        <w:contextualSpacing/>
        <w:jc w:val="center"/>
        <w:rPr>
          <w:rFonts w:cs="Arial"/>
          <w:color w:val="000000" w:themeColor="text1"/>
          <w:sz w:val="20"/>
          <w:szCs w:val="20"/>
        </w:rPr>
      </w:pPr>
      <w:r>
        <w:rPr>
          <w:rFonts w:cs="Arial"/>
          <w:color w:val="000000" w:themeColor="text1"/>
          <w:sz w:val="20"/>
          <w:szCs w:val="20"/>
        </w:rPr>
        <w:t>Fonte: Autor próprio (2023).</w:t>
      </w:r>
    </w:p>
    <w:p>
      <w:pPr>
        <w:pStyle w:val="ListParagraph"/>
        <w:spacing w:before="120" w:after="0"/>
        <w:ind w:hanging="0"/>
        <w:contextualSpacing/>
        <w:jc w:val="center"/>
        <w:rPr>
          <w:rFonts w:cs="Arial"/>
          <w:color w:val="000000" w:themeColor="text1"/>
          <w:sz w:val="20"/>
          <w:szCs w:val="20"/>
        </w:rPr>
      </w:pPr>
      <w:r>
        <w:rPr>
          <w:rFonts w:cs="Arial"/>
          <w:color w:val="000000" w:themeColor="text1"/>
          <w:sz w:val="20"/>
          <w:szCs w:val="20"/>
        </w:rPr>
      </w:r>
    </w:p>
    <w:p>
      <w:pPr>
        <w:pStyle w:val="ListParagraph"/>
        <w:rPr/>
      </w:pPr>
      <w:r>
        <w:rPr/>
        <w:t xml:space="preserve">Neste sentido, utilizando a Equação 1, Equação 2 e Equação 3, juntamente com os dados totais apresentados no </w:t>
      </w:r>
      <w:r>
        <w:rPr/>
        <w:fldChar w:fldCharType="begin"/>
      </w:r>
      <w:r>
        <w:rPr/>
        <w:instrText> REF _Ref148897238 \h </w:instrText>
      </w:r>
      <w:r>
        <w:rPr/>
        <w:fldChar w:fldCharType="separate"/>
      </w:r>
      <w:r>
        <w:rPr/>
        <w:t>Quadro 8</w:t>
      </w:r>
      <w:r>
        <w:rPr/>
        <w:fldChar w:fldCharType="end"/>
      </w:r>
      <w:r>
        <w:rPr/>
        <w:t xml:space="preserve">, é possível determinar a proporção de cada item em relação ao número total de itens avaliados, conforme ilustrado no </w:t>
      </w:r>
      <w:r>
        <w:rPr/>
        <w:fldChar w:fldCharType="begin"/>
      </w:r>
      <w:r>
        <w:rPr/>
        <w:instrText> REF _Ref148897271 \h </w:instrText>
      </w:r>
      <w:r>
        <w:rPr/>
        <w:fldChar w:fldCharType="separate"/>
      </w:r>
      <w:r>
        <w:rPr/>
        <w:t>Quadro 9</w:t>
      </w:r>
      <w:r>
        <w:rPr/>
        <w:fldChar w:fldCharType="end"/>
      </w:r>
      <w:r>
        <w:rPr/>
        <w:t>.</w:t>
      </w:r>
    </w:p>
    <w:p>
      <w:pPr>
        <w:pStyle w:val="EstiloLegenda"/>
        <w:rPr/>
      </w:pPr>
      <w:r>
        <w:rPr/>
      </w:r>
    </w:p>
    <w:p>
      <w:pPr>
        <w:pStyle w:val="EstiloLegenda"/>
        <w:rPr/>
      </w:pPr>
      <w:bookmarkStart w:id="280" w:name="_Toc153384332"/>
      <w:bookmarkStart w:id="281" w:name="_Ref148897271"/>
      <w:r>
        <w:rPr/>
        <w:t xml:space="preserve">Quadro </w:t>
      </w:r>
      <w:r>
        <w:rPr/>
        <w:fldChar w:fldCharType="begin"/>
      </w:r>
      <w:r>
        <w:rPr/>
        <w:instrText> SEQ Quadro \* ARABIC </w:instrText>
      </w:r>
      <w:r>
        <w:rPr/>
        <w:fldChar w:fldCharType="separate"/>
      </w:r>
      <w:r>
        <w:rPr/>
        <w:t>9</w:t>
      </w:r>
      <w:r>
        <w:rPr/>
        <w:fldChar w:fldCharType="end"/>
      </w:r>
      <w:bookmarkEnd w:id="281"/>
      <w:r>
        <w:rPr/>
        <w:t xml:space="preserve"> - Proporcionalidade dos itens - Obra D.</w:t>
      </w:r>
      <w:bookmarkEnd w:id="280"/>
    </w:p>
    <w:tbl>
      <w:tblPr>
        <w:tblStyle w:val="Tabelacomgrade"/>
        <w:tblW w:w="9061" w:type="dxa"/>
        <w:jc w:val="left"/>
        <w:tblInd w:w="0" w:type="dxa"/>
        <w:tblCellMar>
          <w:top w:w="0" w:type="dxa"/>
          <w:left w:w="108" w:type="dxa"/>
          <w:bottom w:w="0" w:type="dxa"/>
          <w:right w:w="108" w:type="dxa"/>
        </w:tblCellMar>
        <w:tblLook w:firstRow="1" w:noVBand="1" w:lastRow="0" w:firstColumn="1" w:lastColumn="0" w:noHBand="0" w:val="04a0"/>
      </w:tblPr>
      <w:tblGrid>
        <w:gridCol w:w="4530"/>
        <w:gridCol w:w="4530"/>
      </w:tblGrid>
      <w:tr>
        <w:trPr>
          <w:trHeight w:val="369" w:hRule="atLeast"/>
        </w:trPr>
        <w:tc>
          <w:tcPr>
            <w:tcW w:w="4530" w:type="dxa"/>
            <w:tcBorders/>
            <w:shd w:color="auto" w:fill="E7E6E6" w:themeFill="background2" w:val="clear"/>
            <w:vAlign w:val="center"/>
          </w:tcPr>
          <w:p>
            <w:pPr>
              <w:pStyle w:val="ListParagraph"/>
              <w:ind w:hanging="0"/>
              <w:jc w:val="center"/>
              <w:rPr>
                <w:b/>
                <w:b/>
                <w:bCs/>
                <w:color w:val="000000" w:themeColor="text1"/>
                <w:sz w:val="20"/>
                <w:szCs w:val="20"/>
              </w:rPr>
            </w:pPr>
            <w:r>
              <w:rPr>
                <w:b/>
                <w:bCs/>
                <w:color w:val="000000" w:themeColor="text1"/>
                <w:sz w:val="20"/>
                <w:szCs w:val="20"/>
              </w:rPr>
              <w:t xml:space="preserve">Descrição </w:t>
            </w:r>
          </w:p>
        </w:tc>
        <w:tc>
          <w:tcPr>
            <w:tcW w:w="4530" w:type="dxa"/>
            <w:tcBorders/>
            <w:shd w:color="auto" w:fill="E7E6E6" w:themeFill="background2" w:val="clear"/>
            <w:vAlign w:val="center"/>
          </w:tcPr>
          <w:p>
            <w:pPr>
              <w:pStyle w:val="ListParagraph"/>
              <w:ind w:hanging="0"/>
              <w:jc w:val="center"/>
              <w:rPr>
                <w:b/>
                <w:b/>
                <w:bCs/>
                <w:color w:val="000000" w:themeColor="text1"/>
                <w:sz w:val="20"/>
                <w:szCs w:val="20"/>
              </w:rPr>
            </w:pPr>
            <w:r>
              <w:rPr>
                <w:b/>
                <w:bCs/>
                <w:color w:val="000000" w:themeColor="text1"/>
                <w:sz w:val="20"/>
                <w:szCs w:val="20"/>
              </w:rPr>
              <w:t>Proporcionalidade (%)</w:t>
            </w:r>
          </w:p>
        </w:tc>
      </w:tr>
      <w:tr>
        <w:trPr>
          <w:trHeight w:val="369" w:hRule="atLeast"/>
        </w:trPr>
        <w:tc>
          <w:tcPr>
            <w:tcW w:w="4530" w:type="dxa"/>
            <w:tcBorders/>
            <w:vAlign w:val="center"/>
          </w:tcPr>
          <w:p>
            <w:pPr>
              <w:pStyle w:val="ListParagraph"/>
              <w:ind w:hanging="0"/>
              <w:jc w:val="center"/>
              <w:rPr>
                <w:sz w:val="20"/>
                <w:szCs w:val="20"/>
              </w:rPr>
            </w:pPr>
            <w:r>
              <w:rPr>
                <w:sz w:val="20"/>
                <w:szCs w:val="20"/>
              </w:rPr>
              <w:t>Itens conformes</w:t>
            </w:r>
          </w:p>
        </w:tc>
        <w:tc>
          <w:tcPr>
            <w:tcW w:w="4530" w:type="dxa"/>
            <w:tcBorders/>
            <w:vAlign w:val="center"/>
          </w:tcPr>
          <w:p>
            <w:pPr>
              <w:pStyle w:val="ListParagraph"/>
              <w:ind w:hanging="0"/>
              <w:jc w:val="center"/>
              <w:rPr>
                <w:sz w:val="20"/>
                <w:szCs w:val="20"/>
              </w:rPr>
            </w:pPr>
            <w:r>
              <w:rPr>
                <w:sz w:val="20"/>
                <w:szCs w:val="20"/>
              </w:rPr>
              <w:t>89%</w:t>
            </w:r>
          </w:p>
        </w:tc>
      </w:tr>
      <w:tr>
        <w:trPr>
          <w:trHeight w:val="369" w:hRule="atLeast"/>
        </w:trPr>
        <w:tc>
          <w:tcPr>
            <w:tcW w:w="4530" w:type="dxa"/>
            <w:tcBorders/>
            <w:vAlign w:val="center"/>
          </w:tcPr>
          <w:p>
            <w:pPr>
              <w:pStyle w:val="ListParagraph"/>
              <w:ind w:hanging="0"/>
              <w:jc w:val="center"/>
              <w:rPr>
                <w:sz w:val="20"/>
                <w:szCs w:val="20"/>
              </w:rPr>
            </w:pPr>
            <w:r>
              <w:rPr>
                <w:sz w:val="20"/>
                <w:szCs w:val="20"/>
              </w:rPr>
              <w:t>Itens não conformes</w:t>
            </w:r>
          </w:p>
        </w:tc>
        <w:tc>
          <w:tcPr>
            <w:tcW w:w="4530" w:type="dxa"/>
            <w:tcBorders/>
            <w:vAlign w:val="center"/>
          </w:tcPr>
          <w:p>
            <w:pPr>
              <w:pStyle w:val="ListParagraph"/>
              <w:ind w:hanging="0"/>
              <w:jc w:val="center"/>
              <w:rPr>
                <w:sz w:val="20"/>
                <w:szCs w:val="20"/>
              </w:rPr>
            </w:pPr>
            <w:r>
              <w:rPr>
                <w:sz w:val="20"/>
                <w:szCs w:val="20"/>
              </w:rPr>
              <w:t>6%</w:t>
            </w:r>
          </w:p>
        </w:tc>
      </w:tr>
      <w:tr>
        <w:trPr>
          <w:trHeight w:val="369" w:hRule="atLeast"/>
        </w:trPr>
        <w:tc>
          <w:tcPr>
            <w:tcW w:w="4530" w:type="dxa"/>
            <w:tcBorders/>
            <w:vAlign w:val="center"/>
          </w:tcPr>
          <w:p>
            <w:pPr>
              <w:pStyle w:val="ListParagraph"/>
              <w:ind w:hanging="0"/>
              <w:jc w:val="center"/>
              <w:rPr>
                <w:sz w:val="20"/>
                <w:szCs w:val="20"/>
              </w:rPr>
            </w:pPr>
            <w:r>
              <w:rPr>
                <w:sz w:val="20"/>
                <w:szCs w:val="20"/>
              </w:rPr>
              <w:t>Itens parciais</w:t>
            </w:r>
          </w:p>
        </w:tc>
        <w:tc>
          <w:tcPr>
            <w:tcW w:w="4530" w:type="dxa"/>
            <w:tcBorders/>
            <w:vAlign w:val="center"/>
          </w:tcPr>
          <w:p>
            <w:pPr>
              <w:pStyle w:val="ListParagraph"/>
              <w:ind w:hanging="0"/>
              <w:jc w:val="center"/>
              <w:rPr>
                <w:sz w:val="20"/>
                <w:szCs w:val="20"/>
              </w:rPr>
            </w:pPr>
            <w:r>
              <w:rPr>
                <w:sz w:val="20"/>
                <w:szCs w:val="20"/>
              </w:rPr>
              <w:t>5%</w:t>
            </w:r>
          </w:p>
        </w:tc>
      </w:tr>
    </w:tbl>
    <w:p>
      <w:pPr>
        <w:pStyle w:val="ListParagraph"/>
        <w:spacing w:before="120" w:after="0"/>
        <w:ind w:hanging="0"/>
        <w:contextualSpacing/>
        <w:jc w:val="center"/>
        <w:rPr>
          <w:rFonts w:cs="Arial"/>
          <w:color w:val="000000" w:themeColor="text1"/>
          <w:sz w:val="20"/>
          <w:szCs w:val="20"/>
        </w:rPr>
      </w:pPr>
      <w:r>
        <w:rPr>
          <w:rFonts w:cs="Arial"/>
          <w:color w:val="000000" w:themeColor="text1"/>
          <w:sz w:val="20"/>
          <w:szCs w:val="20"/>
        </w:rPr>
        <w:t>Fonte: Autor próprio (2023).</w:t>
      </w:r>
    </w:p>
    <w:p>
      <w:pPr>
        <w:pStyle w:val="ListParagraph"/>
        <w:spacing w:before="120" w:after="0"/>
        <w:ind w:hanging="0"/>
        <w:contextualSpacing/>
        <w:jc w:val="center"/>
        <w:rPr>
          <w:rFonts w:cs="Arial"/>
          <w:color w:val="000000" w:themeColor="text1"/>
          <w:sz w:val="20"/>
          <w:szCs w:val="20"/>
        </w:rPr>
      </w:pPr>
      <w:r>
        <w:rPr>
          <w:rFonts w:cs="Arial"/>
          <w:color w:val="000000" w:themeColor="text1"/>
          <w:sz w:val="20"/>
          <w:szCs w:val="20"/>
        </w:rPr>
      </w:r>
    </w:p>
    <w:p>
      <w:pPr>
        <w:pStyle w:val="ListParagraph"/>
        <w:rPr/>
      </w:pPr>
      <w:r>
        <w:rPr/>
        <w:t xml:space="preserve">Na </w:t>
      </w:r>
      <w:r>
        <w:rPr/>
        <w:fldChar w:fldCharType="begin"/>
      </w:r>
      <w:r>
        <w:rPr/>
        <w:instrText> REF _Ref148901014 \h </w:instrText>
      </w:r>
      <w:r>
        <w:rPr/>
        <w:fldChar w:fldCharType="separate"/>
      </w:r>
      <w:r>
        <w:rPr/>
        <w:t>Figura 87</w:t>
      </w:r>
      <w:r>
        <w:rPr/>
        <w:fldChar w:fldCharType="end"/>
      </w:r>
      <w:r>
        <w:rPr/>
        <w:t xml:space="preserve">, mostra-se uma representação gráfica dos itens avaliados no canteiro de obras, relativos à Obra D. É relevante observar que a Obra D apresentou uma taxa de não conformidades inferior a 10% em relação aos itens avaliados. </w:t>
      </w:r>
    </w:p>
    <w:p>
      <w:pPr>
        <w:pStyle w:val="ListParagraph"/>
        <w:rPr/>
      </w:pPr>
      <w:r>
        <w:rPr/>
        <w:t>Para aprimorar significativamente a taxa de conformidade dos itens avaliados, é fundamental considerar a implementação de ações específicas. É essencial criar suportes adequados para extensões elétricas, garantindo que estejam dispostas de maneira organizada e segura, evitando possíveis acidentes. Além disso, é de suma importância designar locais específicos, devidamente isolados e sinalizados, para o armazenamento de materiais que não estão em uso, minimizando riscos e garantindo a limpeza e a desobstrução do canteiro.</w:t>
      </w:r>
    </w:p>
    <w:p>
      <w:pPr>
        <w:pStyle w:val="Normal"/>
        <w:rPr/>
      </w:pPr>
      <w:r>
        <w:rPr/>
      </w:r>
    </w:p>
    <w:p>
      <w:pPr>
        <w:pStyle w:val="Normal"/>
        <w:rPr/>
      </w:pPr>
      <w:r>
        <w:rPr/>
      </w:r>
    </w:p>
    <w:p>
      <w:pPr>
        <w:pStyle w:val="EstiloLegenda"/>
        <w:rPr/>
      </w:pPr>
      <w:bookmarkStart w:id="282" w:name="_Toc153611370"/>
      <w:bookmarkStart w:id="283" w:name="_Ref148901014"/>
      <w:r>
        <w:rPr/>
        <w:t xml:space="preserve">Figura </w:t>
      </w:r>
      <w:r>
        <w:rPr/>
        <w:fldChar w:fldCharType="begin"/>
      </w:r>
      <w:r>
        <w:rPr/>
        <w:instrText> SEQ Figura \* ARABIC </w:instrText>
      </w:r>
      <w:r>
        <w:rPr/>
        <w:fldChar w:fldCharType="separate"/>
      </w:r>
      <w:r>
        <w:rPr/>
        <w:t>87</w:t>
      </w:r>
      <w:r>
        <w:rPr/>
        <w:fldChar w:fldCharType="end"/>
      </w:r>
      <w:bookmarkEnd w:id="283"/>
      <w:r>
        <w:rPr/>
        <w:t xml:space="preserve"> - Relação dos itens avaliados - Obra D.</w:t>
      </w:r>
      <w:bookmarkEnd w:id="282"/>
    </w:p>
    <w:p>
      <w:pPr>
        <w:pStyle w:val="Normal"/>
        <w:jc w:val="center"/>
        <w:rPr/>
      </w:pPr>
      <w:r>
        <w:rPr/>
        <w:drawing>
          <wp:inline distT="0" distB="0" distL="0" distR="0">
            <wp:extent cx="5147945" cy="3094355"/>
            <wp:effectExtent l="0" t="0" r="0" b="0"/>
            <wp:docPr id="98" name="Imagem 5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Imagem 58" descr=""/>
                    <pic:cNvPicPr>
                      <a:picLocks noChangeAspect="1" noChangeArrowheads="1"/>
                    </pic:cNvPicPr>
                  </pic:nvPicPr>
                  <pic:blipFill>
                    <a:blip r:embed="rId99"/>
                    <a:stretch>
                      <a:fillRect/>
                    </a:stretch>
                  </pic:blipFill>
                  <pic:spPr bwMode="auto">
                    <a:xfrm>
                      <a:off x="0" y="0"/>
                      <a:ext cx="5147945" cy="3094355"/>
                    </a:xfrm>
                    <a:prstGeom prst="rect">
                      <a:avLst/>
                    </a:prstGeom>
                  </pic:spPr>
                </pic:pic>
              </a:graphicData>
            </a:graphic>
          </wp:inline>
        </w:drawing>
      </w:r>
    </w:p>
    <w:p>
      <w:pPr>
        <w:pStyle w:val="ListParagraph"/>
        <w:spacing w:before="120" w:after="0"/>
        <w:ind w:hanging="0"/>
        <w:contextualSpacing/>
        <w:jc w:val="center"/>
        <w:rPr>
          <w:rFonts w:cs="Arial"/>
          <w:color w:val="000000" w:themeColor="text1"/>
          <w:sz w:val="20"/>
          <w:szCs w:val="20"/>
        </w:rPr>
      </w:pPr>
      <w:r>
        <w:rPr>
          <w:rFonts w:cs="Arial"/>
          <w:color w:val="000000" w:themeColor="text1"/>
          <w:sz w:val="20"/>
          <w:szCs w:val="20"/>
        </w:rPr>
        <w:t>Fonte: Autor próprio (2023).</w:t>
      </w:r>
    </w:p>
    <w:p>
      <w:pPr>
        <w:pStyle w:val="ListParagraph"/>
        <w:spacing w:before="120" w:after="0"/>
        <w:ind w:hanging="0"/>
        <w:contextualSpacing/>
        <w:jc w:val="center"/>
        <w:rPr>
          <w:rFonts w:cs="Arial"/>
          <w:color w:val="000000" w:themeColor="text1"/>
          <w:sz w:val="20"/>
          <w:szCs w:val="20"/>
        </w:rPr>
      </w:pPr>
      <w:r>
        <w:rPr>
          <w:rFonts w:cs="Arial"/>
          <w:color w:val="000000" w:themeColor="text1"/>
          <w:sz w:val="20"/>
          <w:szCs w:val="20"/>
        </w:rPr>
      </w:r>
    </w:p>
    <w:p>
      <w:pPr>
        <w:pStyle w:val="ListParagraph"/>
        <w:rPr/>
      </w:pPr>
      <w:r>
        <w:rPr/>
        <w:t>Conforme Domingues e Villarinho (2022), é importante que sejam realizadas verificações diárias nas sinalizações presentes no canteiro de obras. Portanto é importando que a Obra D, realize manutenções regulares e que esteja clara as sinalizações, pois, são cruciais para alertar os trabalhadores sobre possíveis perigos, como o risco de choque elétrico.</w:t>
      </w:r>
    </w:p>
    <w:p>
      <w:pPr>
        <w:pStyle w:val="ListParagraph"/>
        <w:rPr/>
      </w:pPr>
      <w:r>
        <w:rPr/>
      </w:r>
    </w:p>
    <w:p>
      <w:pPr>
        <w:pStyle w:val="Ttulo3"/>
        <w:rPr/>
      </w:pPr>
      <w:bookmarkStart w:id="284" w:name="_Toc153611175"/>
      <w:r>
        <w:rPr/>
        <w:t>4.2.5 Obra E</w:t>
      </w:r>
      <w:bookmarkEnd w:id="284"/>
    </w:p>
    <w:p>
      <w:pPr>
        <w:pStyle w:val="ListParagraph"/>
        <w:rPr/>
      </w:pPr>
      <w:r>
        <w:rPr/>
        <w:t>A quinta obra analisada, denominada Obra E, com as características mencionadas anteriormente, contava com um total de 30 funcionários efetivos, sendo 27 homens e 3 mulheres.</w:t>
      </w:r>
    </w:p>
    <w:p>
      <w:pPr>
        <w:pStyle w:val="ListParagraph"/>
        <w:rPr/>
      </w:pPr>
      <w:r>
        <w:rPr/>
        <w:t xml:space="preserve">A visita à Obra E contou com a presença do engenheiro responsável pela obra e da técnica de segurança do trabalho, também pertencente à equipe da obra. Nesse sentido, durante a análise, foi realizada uma avaliação minuciosa para verificar se os serviços estavam sendo executados de acordo com o que determina a NR-18. </w:t>
      </w:r>
    </w:p>
    <w:p>
      <w:pPr>
        <w:pStyle w:val="ListParagraph"/>
        <w:rPr/>
      </w:pPr>
      <w:r>
        <w:rPr/>
        <w:t>A</w:t>
      </w:r>
      <w:r>
        <w:rPr>
          <w:rFonts w:eastAsia="Times New Roman" w:cs="Times New Roman"/>
          <w:iCs/>
          <w:sz w:val="20"/>
          <w:szCs w:val="20"/>
        </w:rPr>
        <w:t xml:space="preserve"> </w:t>
      </w:r>
      <w:r>
        <w:rPr>
          <w:rFonts w:eastAsia="Times New Roman" w:cs="Times New Roman"/>
          <w:iCs/>
          <w:sz w:val="20"/>
          <w:szCs w:val="20"/>
        </w:rPr>
        <w:fldChar w:fldCharType="begin"/>
      </w:r>
      <w:r>
        <w:rPr>
          <w:sz w:val="20"/>
          <w:szCs w:val="20"/>
          <w:iCs/>
          <w:rFonts w:eastAsia="Times New Roman" w:cs="Times New Roman"/>
        </w:rPr>
        <w:instrText> REF _Ref152097028 \h </w:instrText>
      </w:r>
      <w:r>
        <w:rPr>
          <w:sz w:val="20"/>
          <w:szCs w:val="20"/>
          <w:iCs/>
          <w:rFonts w:eastAsia="Times New Roman" w:cs="Times New Roman"/>
        </w:rPr>
        <w:fldChar w:fldCharType="separate"/>
      </w:r>
      <w:r>
        <w:rPr>
          <w:sz w:val="20"/>
          <w:szCs w:val="20"/>
          <w:iCs/>
          <w:rFonts w:eastAsia="Times New Roman" w:cs="Times New Roman"/>
        </w:rPr>
        <w:t>Figura 88</w:t>
      </w:r>
      <w:r>
        <w:rPr>
          <w:sz w:val="20"/>
          <w:szCs w:val="20"/>
          <w:iCs/>
          <w:rFonts w:eastAsia="Times New Roman" w:cs="Times New Roman"/>
        </w:rPr>
        <w:fldChar w:fldCharType="end"/>
      </w:r>
      <w:r>
        <w:rPr>
          <w:rFonts w:eastAsia="Times New Roman" w:cs="Times New Roman"/>
          <w:iCs/>
          <w:sz w:val="20"/>
          <w:szCs w:val="20"/>
        </w:rPr>
        <w:t xml:space="preserve"> </w:t>
      </w:r>
      <w:r>
        <w:rPr/>
        <w:t xml:space="preserve">apresenta uma visão panorâmica do canteiro de obra, capturada a partir da entrada, permitindo observar os serviços em andamento naquele momento. </w:t>
      </w:r>
    </w:p>
    <w:p>
      <w:pPr>
        <w:pStyle w:val="Normal"/>
        <w:tabs>
          <w:tab w:val="clear" w:pos="708"/>
          <w:tab w:val="left" w:pos="8789" w:leader="none"/>
        </w:tabs>
        <w:rPr/>
      </w:pPr>
      <w:r>
        <w:rPr/>
      </w:r>
    </w:p>
    <w:p>
      <w:pPr>
        <w:pStyle w:val="Normal"/>
        <w:tabs>
          <w:tab w:val="clear" w:pos="708"/>
          <w:tab w:val="left" w:pos="8789" w:leader="none"/>
        </w:tabs>
        <w:rPr/>
      </w:pPr>
      <w:r>
        <w:rPr/>
      </w:r>
    </w:p>
    <w:p>
      <w:pPr>
        <w:pStyle w:val="EstiloLegenda"/>
        <w:jc w:val="both"/>
        <w:rPr/>
      </w:pPr>
      <w:r>
        <w:rPr/>
      </w:r>
      <w:bookmarkStart w:id="285" w:name="_Ref148902328"/>
      <w:bookmarkStart w:id="286" w:name="_Ref148902328"/>
    </w:p>
    <w:p>
      <w:pPr>
        <w:pStyle w:val="EstiloLegenda"/>
        <w:rPr/>
      </w:pPr>
      <w:bookmarkStart w:id="287" w:name="_Toc153611371"/>
      <w:bookmarkStart w:id="288" w:name="_Ref152097028"/>
      <w:r>
        <w:rPr/>
        <w:t xml:space="preserve">Figura </w:t>
      </w:r>
      <w:r>
        <w:rPr/>
        <w:fldChar w:fldCharType="begin"/>
      </w:r>
      <w:r>
        <w:rPr/>
        <w:instrText> SEQ Figura \* ARABIC </w:instrText>
      </w:r>
      <w:r>
        <w:rPr/>
        <w:fldChar w:fldCharType="separate"/>
      </w:r>
      <w:r>
        <w:rPr/>
        <w:t>88</w:t>
      </w:r>
      <w:r>
        <w:rPr/>
        <w:fldChar w:fldCharType="end"/>
      </w:r>
      <w:bookmarkEnd w:id="286"/>
      <w:bookmarkEnd w:id="288"/>
      <w:r>
        <w:rPr/>
        <w:t xml:space="preserve"> - Vista panorâmica - Obra E.</w:t>
      </w:r>
      <w:bookmarkEnd w:id="287"/>
    </w:p>
    <w:p>
      <w:pPr>
        <w:pStyle w:val="Normal"/>
        <w:tabs>
          <w:tab w:val="clear" w:pos="708"/>
          <w:tab w:val="left" w:pos="8789" w:leader="none"/>
        </w:tabs>
        <w:jc w:val="center"/>
        <w:rPr/>
      </w:pPr>
      <w:r>
        <w:rPr/>
        <w:drawing>
          <wp:inline distT="0" distB="0" distL="0" distR="0">
            <wp:extent cx="4330700" cy="3246755"/>
            <wp:effectExtent l="0" t="0" r="0" b="0"/>
            <wp:docPr id="99" name="Figura5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Figura53" descr=""/>
                    <pic:cNvPicPr>
                      <a:picLocks noChangeAspect="1" noChangeArrowheads="1"/>
                    </pic:cNvPicPr>
                  </pic:nvPicPr>
                  <pic:blipFill>
                    <a:blip r:embed="rId100"/>
                    <a:stretch>
                      <a:fillRect/>
                    </a:stretch>
                  </pic:blipFill>
                  <pic:spPr bwMode="auto">
                    <a:xfrm>
                      <a:off x="0" y="0"/>
                      <a:ext cx="4330700" cy="3246755"/>
                    </a:xfrm>
                    <a:prstGeom prst="rect">
                      <a:avLst/>
                    </a:prstGeom>
                  </pic:spPr>
                </pic:pic>
              </a:graphicData>
            </a:graphic>
          </wp:inline>
        </w:drawing>
      </w:r>
    </w:p>
    <w:p>
      <w:pPr>
        <w:pStyle w:val="ListParagraph"/>
        <w:spacing w:before="120" w:after="0"/>
        <w:ind w:hanging="0"/>
        <w:contextualSpacing/>
        <w:jc w:val="center"/>
        <w:rPr>
          <w:rFonts w:cs="Arial"/>
          <w:color w:val="000000" w:themeColor="text1"/>
          <w:sz w:val="20"/>
          <w:szCs w:val="20"/>
        </w:rPr>
      </w:pPr>
      <w:r>
        <w:rPr>
          <w:rFonts w:cs="Arial"/>
          <w:color w:val="000000" w:themeColor="text1"/>
          <w:sz w:val="20"/>
          <w:szCs w:val="20"/>
        </w:rPr>
        <w:t>Fonte: Autor próprio (2023).</w:t>
      </w:r>
    </w:p>
    <w:p>
      <w:pPr>
        <w:pStyle w:val="ListParagraph"/>
        <w:spacing w:before="120" w:after="0"/>
        <w:ind w:hanging="0"/>
        <w:contextualSpacing/>
        <w:rPr>
          <w:rFonts w:cs="Arial"/>
          <w:color w:val="000000" w:themeColor="text1"/>
          <w:sz w:val="20"/>
          <w:szCs w:val="20"/>
        </w:rPr>
      </w:pPr>
      <w:r>
        <w:rPr>
          <w:rFonts w:cs="Arial"/>
          <w:color w:val="000000" w:themeColor="text1"/>
          <w:sz w:val="20"/>
          <w:szCs w:val="20"/>
        </w:rPr>
      </w:r>
    </w:p>
    <w:p>
      <w:pPr>
        <w:pStyle w:val="ListParagraph"/>
        <w:rPr/>
      </w:pPr>
      <w:r>
        <w:rPr/>
        <w:t xml:space="preserve">Em consonância no que determina a NR-18, em relação a obrigatoriedade da elaboração do PGR (Brasil, 2021), a Obra E, assim com todas as obras mencionadas anteriormente atende a este item. Neste contexto, na </w:t>
      </w:r>
      <w:r>
        <w:rPr/>
        <w:fldChar w:fldCharType="begin"/>
      </w:r>
      <w:r>
        <w:rPr/>
        <w:instrText> REF _Ref148980983 \h </w:instrText>
      </w:r>
      <w:r>
        <w:rPr/>
        <w:fldChar w:fldCharType="separate"/>
      </w:r>
      <w:r>
        <w:rPr/>
        <w:t>Figura 89</w:t>
      </w:r>
      <w:r>
        <w:rPr/>
        <w:fldChar w:fldCharType="end"/>
      </w:r>
      <w:r>
        <w:rPr/>
        <w:t>, é apresentada a capa do PGR da Obra E.</w:t>
      </w:r>
    </w:p>
    <w:p>
      <w:pPr>
        <w:pStyle w:val="Normal"/>
        <w:rPr/>
      </w:pPr>
      <w:r>
        <w:rPr/>
      </w:r>
    </w:p>
    <w:p>
      <w:pPr>
        <w:pStyle w:val="EstiloLegenda"/>
        <w:rPr/>
      </w:pPr>
      <w:bookmarkStart w:id="289" w:name="_Toc153611372"/>
      <w:bookmarkStart w:id="290" w:name="_Ref148980983"/>
      <w:r>
        <w:rPr/>
        <w:t xml:space="preserve">Figura </w:t>
      </w:r>
      <w:r>
        <w:rPr/>
        <w:fldChar w:fldCharType="begin"/>
      </w:r>
      <w:r>
        <w:rPr/>
        <w:instrText> SEQ Figura \* ARABIC </w:instrText>
      </w:r>
      <w:r>
        <w:rPr/>
        <w:fldChar w:fldCharType="separate"/>
      </w:r>
      <w:r>
        <w:rPr/>
        <w:t>89</w:t>
      </w:r>
      <w:r>
        <w:rPr/>
        <w:fldChar w:fldCharType="end"/>
      </w:r>
      <w:bookmarkEnd w:id="290"/>
      <w:r>
        <w:rPr/>
        <w:t xml:space="preserve"> - Programa de Gerenciamento de Riscos - Obra E.</w:t>
      </w:r>
      <w:bookmarkEnd w:id="289"/>
    </w:p>
    <w:p>
      <w:pPr>
        <w:pStyle w:val="Normal"/>
        <w:jc w:val="center"/>
        <w:rPr/>
      </w:pPr>
      <w:r>
        <w:rPr/>
        <w:drawing>
          <wp:inline distT="0" distB="0" distL="0" distR="0">
            <wp:extent cx="4330700" cy="3260090"/>
            <wp:effectExtent l="0" t="0" r="0" b="0"/>
            <wp:docPr id="100" name="Figura5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Figura54" descr=""/>
                    <pic:cNvPicPr>
                      <a:picLocks noChangeAspect="1" noChangeArrowheads="1"/>
                    </pic:cNvPicPr>
                  </pic:nvPicPr>
                  <pic:blipFill>
                    <a:blip r:embed="rId101"/>
                    <a:stretch>
                      <a:fillRect/>
                    </a:stretch>
                  </pic:blipFill>
                  <pic:spPr bwMode="auto">
                    <a:xfrm>
                      <a:off x="0" y="0"/>
                      <a:ext cx="4330700" cy="3260090"/>
                    </a:xfrm>
                    <a:prstGeom prst="rect">
                      <a:avLst/>
                    </a:prstGeom>
                  </pic:spPr>
                </pic:pic>
              </a:graphicData>
            </a:graphic>
          </wp:inline>
        </w:drawing>
      </w:r>
    </w:p>
    <w:p>
      <w:pPr>
        <w:pStyle w:val="ListParagraph"/>
        <w:spacing w:before="120" w:after="0"/>
        <w:ind w:hanging="0"/>
        <w:contextualSpacing/>
        <w:jc w:val="center"/>
        <w:rPr>
          <w:rFonts w:cs="Arial"/>
          <w:color w:val="000000" w:themeColor="text1"/>
          <w:sz w:val="20"/>
          <w:szCs w:val="20"/>
        </w:rPr>
      </w:pPr>
      <w:r>
        <w:rPr>
          <w:rFonts w:cs="Arial"/>
          <w:color w:val="000000" w:themeColor="text1"/>
          <w:sz w:val="20"/>
          <w:szCs w:val="20"/>
        </w:rPr>
        <w:t>Fonte: Autor próprio (2023).</w:t>
      </w:r>
    </w:p>
    <w:p>
      <w:pPr>
        <w:pStyle w:val="ListParagraph"/>
        <w:rPr/>
      </w:pPr>
      <w:r>
        <w:rPr/>
        <w:t xml:space="preserve">Na </w:t>
      </w:r>
      <w:r>
        <w:rPr/>
        <w:fldChar w:fldCharType="begin"/>
      </w:r>
      <w:r>
        <w:rPr/>
        <w:instrText> REF _Ref148980983 \h </w:instrText>
      </w:r>
      <w:r>
        <w:rPr/>
        <w:fldChar w:fldCharType="separate"/>
      </w:r>
      <w:r>
        <w:rPr/>
        <w:t>Figura 89</w:t>
      </w:r>
      <w:r>
        <w:rPr/>
        <w:fldChar w:fldCharType="end"/>
      </w:r>
      <w:r>
        <w:rPr/>
        <w:t xml:space="preserve">, é possível verificar que na capa do PGR da Obra E, constam: i) o nome do empreendimento, ii) Cadastro Nacional da Pessoa Jurídica (CNPJ) e iii) o nome da obra. No entanto, a identificação da obra foi apagada pelos motivos mencionados anteriormente. Portanto, ao observar a </w:t>
      </w:r>
      <w:r>
        <w:rPr/>
        <w:fldChar w:fldCharType="begin"/>
      </w:r>
      <w:r>
        <w:rPr/>
        <w:instrText> REF _Ref148980983 \h </w:instrText>
      </w:r>
      <w:r>
        <w:rPr/>
        <w:fldChar w:fldCharType="separate"/>
      </w:r>
      <w:r>
        <w:rPr/>
        <w:t>Figura 89</w:t>
      </w:r>
      <w:r>
        <w:rPr/>
        <w:fldChar w:fldCharType="end"/>
      </w:r>
      <w:r>
        <w:rPr/>
        <w:t>, é possível verificar que o PGR abrange a etapa em que a obra se encontra. Ademais, foi constatado que o PGR foi elaborado por um profissional legalmente habilitado em segurança do trabalho.</w:t>
      </w:r>
    </w:p>
    <w:p>
      <w:pPr>
        <w:pStyle w:val="ListParagraph"/>
        <w:rPr/>
      </w:pPr>
      <w:r>
        <w:rPr/>
        <w:t xml:space="preserve">Em relação ao refeitório dos trabalhadores na Obra E, constata-se que ele cumpre com os requisitos básicos de conforto e higiene, conforme ilustrado na </w:t>
      </w:r>
      <w:r>
        <w:rPr/>
        <w:fldChar w:fldCharType="begin"/>
      </w:r>
      <w:r>
        <w:rPr/>
        <w:instrText> REF _Ref148982089 \h </w:instrText>
      </w:r>
      <w:r>
        <w:rPr/>
        <w:fldChar w:fldCharType="separate"/>
      </w:r>
      <w:r>
        <w:rPr/>
        <w:t>Figura 90</w:t>
      </w:r>
      <w:r>
        <w:rPr/>
        <w:fldChar w:fldCharType="end"/>
      </w:r>
      <w:r>
        <w:rPr/>
        <w:t>. Observa-se que o ambiente dispõe de iluminação adequada e proteção contra as intempéries. Ressalta-se que, embora o espaço atual atenda às necessidades, a obra deve se prevenir para expandir a estrutura caso haja um aumento significativo no número de funcionários, assegurando assim um ambiente confortável e higiênico.</w:t>
      </w:r>
    </w:p>
    <w:p>
      <w:pPr>
        <w:pStyle w:val="Normal"/>
        <w:rPr/>
      </w:pPr>
      <w:r>
        <w:rPr/>
      </w:r>
    </w:p>
    <w:p>
      <w:pPr>
        <w:pStyle w:val="EstiloLegenda"/>
        <w:rPr/>
      </w:pPr>
      <w:bookmarkStart w:id="291" w:name="_Toc153611373"/>
      <w:bookmarkStart w:id="292" w:name="_Ref148982089"/>
      <w:r>
        <w:rPr/>
        <w:t xml:space="preserve">Figura </w:t>
      </w:r>
      <w:r>
        <w:rPr/>
        <w:fldChar w:fldCharType="begin"/>
      </w:r>
      <w:r>
        <w:rPr/>
        <w:instrText> SEQ Figura \* ARABIC </w:instrText>
      </w:r>
      <w:r>
        <w:rPr/>
        <w:fldChar w:fldCharType="separate"/>
      </w:r>
      <w:r>
        <w:rPr/>
        <w:t>90</w:t>
      </w:r>
      <w:r>
        <w:rPr/>
        <w:fldChar w:fldCharType="end"/>
      </w:r>
      <w:bookmarkEnd w:id="292"/>
      <w:r>
        <w:rPr/>
        <w:t xml:space="preserve"> - Refeitório da Obra E.</w:t>
      </w:r>
      <w:bookmarkEnd w:id="291"/>
    </w:p>
    <w:p>
      <w:pPr>
        <w:pStyle w:val="Normal"/>
        <w:jc w:val="center"/>
        <w:rPr/>
      </w:pPr>
      <w:r>
        <w:rPr/>
        <w:drawing>
          <wp:inline distT="0" distB="0" distL="0" distR="0">
            <wp:extent cx="4330700" cy="3116580"/>
            <wp:effectExtent l="0" t="0" r="0" b="0"/>
            <wp:docPr id="101" name="Figura5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Figura55" descr=""/>
                    <pic:cNvPicPr>
                      <a:picLocks noChangeAspect="1" noChangeArrowheads="1"/>
                    </pic:cNvPicPr>
                  </pic:nvPicPr>
                  <pic:blipFill>
                    <a:blip r:embed="rId102"/>
                    <a:stretch>
                      <a:fillRect/>
                    </a:stretch>
                  </pic:blipFill>
                  <pic:spPr bwMode="auto">
                    <a:xfrm>
                      <a:off x="0" y="0"/>
                      <a:ext cx="4330700" cy="3116580"/>
                    </a:xfrm>
                    <a:prstGeom prst="rect">
                      <a:avLst/>
                    </a:prstGeom>
                  </pic:spPr>
                </pic:pic>
              </a:graphicData>
            </a:graphic>
          </wp:inline>
        </w:drawing>
      </w:r>
    </w:p>
    <w:p>
      <w:pPr>
        <w:pStyle w:val="ListParagraph"/>
        <w:spacing w:before="120" w:after="0"/>
        <w:ind w:hanging="0"/>
        <w:contextualSpacing/>
        <w:jc w:val="center"/>
        <w:rPr>
          <w:rFonts w:cs="Arial"/>
          <w:color w:val="000000" w:themeColor="text1"/>
          <w:sz w:val="20"/>
          <w:szCs w:val="20"/>
        </w:rPr>
      </w:pPr>
      <w:r>
        <w:rPr>
          <w:rFonts w:cs="Arial"/>
          <w:color w:val="000000" w:themeColor="text1"/>
          <w:sz w:val="20"/>
          <w:szCs w:val="20"/>
        </w:rPr>
        <w:t>Fonte: Autor próprio (2023).</w:t>
      </w:r>
    </w:p>
    <w:p>
      <w:pPr>
        <w:pStyle w:val="ListParagraph"/>
        <w:spacing w:before="120" w:after="0"/>
        <w:ind w:hanging="0"/>
        <w:contextualSpacing/>
        <w:jc w:val="center"/>
        <w:rPr>
          <w:rFonts w:cs="Arial"/>
          <w:color w:val="000000" w:themeColor="text1"/>
          <w:sz w:val="20"/>
          <w:szCs w:val="20"/>
        </w:rPr>
      </w:pPr>
      <w:r>
        <w:rPr>
          <w:rFonts w:cs="Arial"/>
          <w:color w:val="000000" w:themeColor="text1"/>
          <w:sz w:val="20"/>
          <w:szCs w:val="20"/>
        </w:rPr>
      </w:r>
    </w:p>
    <w:p>
      <w:pPr>
        <w:pStyle w:val="ListParagraph"/>
        <w:rPr/>
      </w:pPr>
      <w:r>
        <w:rPr/>
        <w:t xml:space="preserve">Quanto aos espaços destinados aos chuveiros e às bacias sanitárias na Obra E, atualmente atendem às necessidades dos funcionários, tanto em termos de quantidade quanto de capacidade. No entanto, conforme ilustrado na </w:t>
      </w:r>
      <w:r>
        <w:rPr/>
        <w:fldChar w:fldCharType="begin"/>
      </w:r>
      <w:r>
        <w:rPr/>
        <w:instrText> REF _Ref148987299 \h </w:instrText>
      </w:r>
      <w:r>
        <w:rPr/>
        <w:fldChar w:fldCharType="separate"/>
      </w:r>
      <w:r>
        <w:rPr/>
        <w:t>Figura 91</w:t>
      </w:r>
      <w:r>
        <w:rPr/>
        <w:fldChar w:fldCharType="end"/>
      </w:r>
      <w:r>
        <w:rPr/>
        <w:t>, é importante notar que os chuveiros e as bacias sanitárias compartilham o mesmo ambiente. Nesse sentido, é recomendável que a obra considere futuras expansões para essa área.</w:t>
      </w:r>
    </w:p>
    <w:p>
      <w:pPr>
        <w:pStyle w:val="EstiloLegenda"/>
        <w:rPr/>
      </w:pPr>
      <w:bookmarkStart w:id="293" w:name="_Toc153611374"/>
      <w:bookmarkStart w:id="294" w:name="_Ref148987299"/>
      <w:r>
        <w:rPr/>
        <w:t xml:space="preserve">Figura </w:t>
      </w:r>
      <w:r>
        <w:rPr/>
        <w:fldChar w:fldCharType="begin"/>
      </w:r>
      <w:r>
        <w:rPr/>
        <w:instrText> SEQ Figura \* ARABIC </w:instrText>
      </w:r>
      <w:r>
        <w:rPr/>
        <w:fldChar w:fldCharType="separate"/>
      </w:r>
      <w:r>
        <w:rPr/>
        <w:t>91</w:t>
      </w:r>
      <w:r>
        <w:rPr/>
        <w:fldChar w:fldCharType="end"/>
      </w:r>
      <w:bookmarkEnd w:id="294"/>
      <w:r>
        <w:rPr/>
        <w:t xml:space="preserve"> - Vista geral dos sanitários e locais de banho - Obra E.</w:t>
      </w:r>
      <w:bookmarkEnd w:id="293"/>
    </w:p>
    <w:p>
      <w:pPr>
        <w:pStyle w:val="ListParagraph"/>
        <w:tabs>
          <w:tab w:val="clear" w:pos="708"/>
          <w:tab w:val="left" w:pos="8789" w:leader="none"/>
        </w:tabs>
        <w:ind w:hanging="0"/>
        <w:jc w:val="center"/>
        <w:rPr/>
      </w:pPr>
      <w:r>
        <w:rPr/>
        <w:drawing>
          <wp:inline distT="0" distB="0" distL="0" distR="0">
            <wp:extent cx="3970655" cy="2954655"/>
            <wp:effectExtent l="0" t="0" r="0" b="0"/>
            <wp:docPr id="102" name="Figura5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Figura56" descr=""/>
                    <pic:cNvPicPr>
                      <a:picLocks noChangeAspect="1" noChangeArrowheads="1"/>
                    </pic:cNvPicPr>
                  </pic:nvPicPr>
                  <pic:blipFill>
                    <a:blip r:embed="rId103"/>
                    <a:stretch>
                      <a:fillRect/>
                    </a:stretch>
                  </pic:blipFill>
                  <pic:spPr bwMode="auto">
                    <a:xfrm>
                      <a:off x="0" y="0"/>
                      <a:ext cx="3970655" cy="2954655"/>
                    </a:xfrm>
                    <a:prstGeom prst="rect">
                      <a:avLst/>
                    </a:prstGeom>
                  </pic:spPr>
                </pic:pic>
              </a:graphicData>
            </a:graphic>
          </wp:inline>
        </w:drawing>
      </w:r>
    </w:p>
    <w:p>
      <w:pPr>
        <w:pStyle w:val="ListParagraph"/>
        <w:spacing w:before="120" w:after="0"/>
        <w:ind w:hanging="0"/>
        <w:contextualSpacing/>
        <w:jc w:val="center"/>
        <w:rPr>
          <w:rFonts w:cs="Arial"/>
          <w:color w:val="000000" w:themeColor="text1"/>
          <w:sz w:val="20"/>
          <w:szCs w:val="20"/>
        </w:rPr>
      </w:pPr>
      <w:r>
        <w:rPr>
          <w:rFonts w:cs="Arial"/>
          <w:color w:val="000000" w:themeColor="text1"/>
          <w:sz w:val="20"/>
          <w:szCs w:val="20"/>
        </w:rPr>
        <w:t>Fonte: Autor próprio (2023).</w:t>
      </w:r>
    </w:p>
    <w:p>
      <w:pPr>
        <w:pStyle w:val="ListParagraph"/>
        <w:spacing w:before="120" w:after="0"/>
        <w:ind w:hanging="0"/>
        <w:contextualSpacing/>
        <w:jc w:val="center"/>
        <w:rPr>
          <w:rFonts w:cs="Arial"/>
          <w:color w:val="000000" w:themeColor="text1"/>
          <w:sz w:val="20"/>
          <w:szCs w:val="20"/>
        </w:rPr>
      </w:pPr>
      <w:r>
        <w:rPr>
          <w:rFonts w:cs="Arial"/>
          <w:color w:val="000000" w:themeColor="text1"/>
          <w:sz w:val="20"/>
          <w:szCs w:val="20"/>
        </w:rPr>
      </w:r>
    </w:p>
    <w:p>
      <w:pPr>
        <w:pStyle w:val="ListParagraph"/>
        <w:rPr/>
      </w:pPr>
      <w:r>
        <w:rPr/>
        <w:t>Na</w:t>
      </w:r>
      <w:r>
        <w:rPr>
          <w:rFonts w:eastAsia="Times New Roman" w:cs="Times New Roman"/>
          <w:iCs/>
          <w:sz w:val="20"/>
          <w:szCs w:val="20"/>
        </w:rPr>
        <w:t xml:space="preserve"> </w:t>
      </w:r>
      <w:r>
        <w:rPr>
          <w:rFonts w:eastAsia="Times New Roman" w:cs="Times New Roman"/>
          <w:iCs/>
          <w:sz w:val="20"/>
          <w:szCs w:val="20"/>
        </w:rPr>
        <w:fldChar w:fldCharType="begin"/>
      </w:r>
      <w:r>
        <w:rPr>
          <w:sz w:val="20"/>
          <w:szCs w:val="20"/>
          <w:iCs/>
          <w:rFonts w:eastAsia="Times New Roman" w:cs="Times New Roman"/>
        </w:rPr>
        <w:instrText> REF _Ref152097073 \h </w:instrText>
      </w:r>
      <w:r>
        <w:rPr>
          <w:sz w:val="20"/>
          <w:szCs w:val="20"/>
          <w:iCs/>
          <w:rFonts w:eastAsia="Times New Roman" w:cs="Times New Roman"/>
        </w:rPr>
        <w:fldChar w:fldCharType="separate"/>
      </w:r>
      <w:r>
        <w:rPr>
          <w:sz w:val="20"/>
          <w:szCs w:val="20"/>
          <w:iCs/>
          <w:rFonts w:eastAsia="Times New Roman" w:cs="Times New Roman"/>
        </w:rPr>
        <w:t>Figura 92</w:t>
      </w:r>
      <w:r>
        <w:rPr>
          <w:sz w:val="20"/>
          <w:szCs w:val="20"/>
          <w:iCs/>
          <w:rFonts w:eastAsia="Times New Roman" w:cs="Times New Roman"/>
        </w:rPr>
        <w:fldChar w:fldCharType="end"/>
      </w:r>
      <w:r>
        <w:rPr>
          <w:rFonts w:eastAsia="Times New Roman" w:cs="Times New Roman"/>
          <w:iCs/>
          <w:sz w:val="20"/>
          <w:szCs w:val="20"/>
        </w:rPr>
        <w:t xml:space="preserve"> </w:t>
      </w:r>
      <w:r>
        <w:rPr/>
        <w:t xml:space="preserve">e </w:t>
      </w:r>
      <w:r>
        <w:rPr/>
        <w:fldChar w:fldCharType="begin"/>
      </w:r>
      <w:r>
        <w:rPr/>
        <w:instrText> REF _Ref148987324 \h </w:instrText>
      </w:r>
      <w:r>
        <w:rPr/>
        <w:fldChar w:fldCharType="separate"/>
      </w:r>
      <w:r>
        <w:rPr/>
        <w:t>Figura 93</w:t>
      </w:r>
      <w:r>
        <w:rPr/>
        <w:fldChar w:fldCharType="end"/>
      </w:r>
      <w:r>
        <w:rPr/>
        <w:t>, encontram-se os modelos das bacias sanitárias e dos chuveiros elétricos disponíveis na Obra E para uso dos colaboradores. É relevante destacar que as bacias sanitárias estão equipadas com tampa, como exige a NR-18 (Brasil, 2021).</w:t>
      </w:r>
      <w:bookmarkStart w:id="295" w:name="_Ref148987315"/>
    </w:p>
    <w:p>
      <w:pPr>
        <w:pStyle w:val="Normal"/>
        <w:rPr/>
      </w:pPr>
      <w:r>
        <w:rPr/>
      </w:r>
    </w:p>
    <w:p>
      <w:pPr>
        <w:pStyle w:val="EstiloLegenda"/>
        <w:rPr/>
      </w:pPr>
      <w:bookmarkStart w:id="296" w:name="_Toc153611375"/>
      <w:bookmarkStart w:id="297" w:name="_Ref152097073"/>
      <w:r>
        <w:rPr/>
        <w:t xml:space="preserve">Figura </w:t>
      </w:r>
      <w:r>
        <w:rPr/>
        <w:fldChar w:fldCharType="begin"/>
      </w:r>
      <w:r>
        <w:rPr/>
        <w:instrText> SEQ Figura \* ARABIC </w:instrText>
      </w:r>
      <w:r>
        <w:rPr/>
        <w:fldChar w:fldCharType="separate"/>
      </w:r>
      <w:r>
        <w:rPr/>
        <w:t>92</w:t>
      </w:r>
      <w:r>
        <w:rPr/>
        <w:fldChar w:fldCharType="end"/>
      </w:r>
      <w:bookmarkEnd w:id="295"/>
      <w:bookmarkEnd w:id="297"/>
      <w:r>
        <w:rPr/>
        <w:t xml:space="preserve"> - Bacia sanitária com tampa da Obra E.</w:t>
      </w:r>
      <w:bookmarkEnd w:id="296"/>
    </w:p>
    <w:p>
      <w:pPr>
        <w:pStyle w:val="ListParagraph"/>
        <w:jc w:val="center"/>
        <w:rPr/>
      </w:pPr>
      <w:r>
        <w:rPr/>
        <w:drawing>
          <wp:inline distT="0" distB="0" distL="0" distR="0">
            <wp:extent cx="3970655" cy="2970530"/>
            <wp:effectExtent l="0" t="0" r="0" b="0"/>
            <wp:docPr id="103" name="Figura5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Figura57" descr=""/>
                    <pic:cNvPicPr>
                      <a:picLocks noChangeAspect="1" noChangeArrowheads="1"/>
                    </pic:cNvPicPr>
                  </pic:nvPicPr>
                  <pic:blipFill>
                    <a:blip r:embed="rId104"/>
                    <a:stretch>
                      <a:fillRect/>
                    </a:stretch>
                  </pic:blipFill>
                  <pic:spPr bwMode="auto">
                    <a:xfrm>
                      <a:off x="0" y="0"/>
                      <a:ext cx="3970655" cy="2970530"/>
                    </a:xfrm>
                    <a:prstGeom prst="rect">
                      <a:avLst/>
                    </a:prstGeom>
                  </pic:spPr>
                </pic:pic>
              </a:graphicData>
            </a:graphic>
          </wp:inline>
        </w:drawing>
      </w:r>
    </w:p>
    <w:p>
      <w:pPr>
        <w:pStyle w:val="ListParagraph"/>
        <w:spacing w:before="120" w:after="0"/>
        <w:ind w:hanging="0"/>
        <w:contextualSpacing/>
        <w:jc w:val="center"/>
        <w:rPr>
          <w:rFonts w:cs="Arial"/>
          <w:color w:val="000000" w:themeColor="text1"/>
          <w:sz w:val="20"/>
          <w:szCs w:val="20"/>
        </w:rPr>
      </w:pPr>
      <w:r>
        <w:rPr>
          <w:rFonts w:cs="Arial"/>
          <w:color w:val="000000" w:themeColor="text1"/>
          <w:sz w:val="20"/>
          <w:szCs w:val="20"/>
        </w:rPr>
        <w:t>Fonte: Autor próprio (2023).</w:t>
      </w:r>
    </w:p>
    <w:p>
      <w:pPr>
        <w:pStyle w:val="EstiloLegenda"/>
        <w:rPr/>
      </w:pPr>
      <w:bookmarkStart w:id="298" w:name="_Toc153611376"/>
      <w:bookmarkStart w:id="299" w:name="_Ref148987324"/>
      <w:r>
        <w:rPr/>
        <w:t xml:space="preserve">Figura </w:t>
      </w:r>
      <w:r>
        <w:rPr/>
        <w:fldChar w:fldCharType="begin"/>
      </w:r>
      <w:r>
        <w:rPr/>
        <w:instrText> SEQ Figura \* ARABIC </w:instrText>
      </w:r>
      <w:r>
        <w:rPr/>
        <w:fldChar w:fldCharType="separate"/>
      </w:r>
      <w:r>
        <w:rPr/>
        <w:t>93</w:t>
      </w:r>
      <w:r>
        <w:rPr/>
        <w:fldChar w:fldCharType="end"/>
      </w:r>
      <w:bookmarkEnd w:id="299"/>
      <w:r>
        <w:rPr/>
        <w:t xml:space="preserve"> - Chuveiro elétrico - Obra E.</w:t>
      </w:r>
      <w:bookmarkEnd w:id="298"/>
    </w:p>
    <w:p>
      <w:pPr>
        <w:pStyle w:val="ListParagraph"/>
        <w:tabs>
          <w:tab w:val="clear" w:pos="708"/>
          <w:tab w:val="left" w:pos="567" w:leader="none"/>
          <w:tab w:val="left" w:pos="8789" w:leader="none"/>
        </w:tabs>
        <w:ind w:hanging="0"/>
        <w:jc w:val="center"/>
        <w:rPr/>
      </w:pPr>
      <w:r>
        <w:rPr/>
        <w:drawing>
          <wp:inline distT="0" distB="0" distL="0" distR="0">
            <wp:extent cx="4330700" cy="2649220"/>
            <wp:effectExtent l="0" t="0" r="0" b="0"/>
            <wp:docPr id="104" name="Figura5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Figura58" descr=""/>
                    <pic:cNvPicPr>
                      <a:picLocks noChangeAspect="1" noChangeArrowheads="1"/>
                    </pic:cNvPicPr>
                  </pic:nvPicPr>
                  <pic:blipFill>
                    <a:blip r:embed="rId105"/>
                    <a:stretch>
                      <a:fillRect/>
                    </a:stretch>
                  </pic:blipFill>
                  <pic:spPr bwMode="auto">
                    <a:xfrm>
                      <a:off x="0" y="0"/>
                      <a:ext cx="4330700" cy="2649220"/>
                    </a:xfrm>
                    <a:prstGeom prst="rect">
                      <a:avLst/>
                    </a:prstGeom>
                  </pic:spPr>
                </pic:pic>
              </a:graphicData>
            </a:graphic>
          </wp:inline>
        </w:drawing>
      </w:r>
    </w:p>
    <w:p>
      <w:pPr>
        <w:pStyle w:val="ListParagraph"/>
        <w:spacing w:before="120" w:after="0"/>
        <w:ind w:hanging="0"/>
        <w:contextualSpacing/>
        <w:jc w:val="center"/>
        <w:rPr>
          <w:rFonts w:cs="Arial"/>
          <w:color w:val="000000" w:themeColor="text1"/>
          <w:sz w:val="20"/>
          <w:szCs w:val="20"/>
        </w:rPr>
      </w:pPr>
      <w:r>
        <w:rPr>
          <w:rFonts w:cs="Arial"/>
          <w:color w:val="000000" w:themeColor="text1"/>
          <w:sz w:val="20"/>
          <w:szCs w:val="20"/>
        </w:rPr>
        <w:t>Fonte: Autor próprio (2023).</w:t>
      </w:r>
    </w:p>
    <w:p>
      <w:pPr>
        <w:pStyle w:val="ListParagraph"/>
        <w:spacing w:before="120" w:after="0"/>
        <w:ind w:hanging="0"/>
        <w:contextualSpacing/>
        <w:jc w:val="center"/>
        <w:rPr>
          <w:rFonts w:cs="Arial"/>
          <w:color w:val="000000" w:themeColor="text1"/>
          <w:sz w:val="20"/>
          <w:szCs w:val="20"/>
        </w:rPr>
      </w:pPr>
      <w:r>
        <w:rPr>
          <w:rFonts w:cs="Arial"/>
          <w:color w:val="000000" w:themeColor="text1"/>
          <w:sz w:val="20"/>
          <w:szCs w:val="20"/>
        </w:rPr>
      </w:r>
    </w:p>
    <w:p>
      <w:pPr>
        <w:pStyle w:val="ListParagraph"/>
        <w:rPr/>
      </w:pPr>
      <w:r>
        <w:rPr/>
        <w:t xml:space="preserve">Na </w:t>
      </w:r>
      <w:r>
        <w:rPr/>
        <w:fldChar w:fldCharType="begin"/>
      </w:r>
      <w:r>
        <w:rPr/>
        <w:instrText> REF _Ref149071083 \h </w:instrText>
      </w:r>
      <w:r>
        <w:rPr/>
        <w:fldChar w:fldCharType="separate"/>
      </w:r>
      <w:r>
        <w:rPr/>
        <w:t>Figura 94</w:t>
      </w:r>
      <w:r>
        <w:rPr/>
        <w:fldChar w:fldCharType="end"/>
      </w:r>
      <w:r>
        <w:rPr/>
        <w:t xml:space="preserve"> é apresentado o vestiário da Obra E, dispondo sobre os armários dos colaboradores para guarda de seus objetos pessoais. </w:t>
      </w:r>
    </w:p>
    <w:p>
      <w:pPr>
        <w:pStyle w:val="ListParagraph"/>
        <w:rPr/>
      </w:pPr>
      <w:r>
        <w:rPr/>
      </w:r>
    </w:p>
    <w:p>
      <w:pPr>
        <w:pStyle w:val="EstiloLegenda"/>
        <w:rPr/>
      </w:pPr>
      <w:bookmarkStart w:id="300" w:name="_Toc153611377"/>
      <w:bookmarkStart w:id="301" w:name="_Ref149071083"/>
      <w:r>
        <w:rPr/>
        <w:t xml:space="preserve">Figura </w:t>
      </w:r>
      <w:r>
        <w:rPr/>
        <w:fldChar w:fldCharType="begin"/>
      </w:r>
      <w:r>
        <w:rPr/>
        <w:instrText> SEQ Figura \* ARABIC </w:instrText>
      </w:r>
      <w:r>
        <w:rPr/>
        <w:fldChar w:fldCharType="separate"/>
      </w:r>
      <w:r>
        <w:rPr/>
        <w:t>94</w:t>
      </w:r>
      <w:r>
        <w:rPr/>
        <w:fldChar w:fldCharType="end"/>
      </w:r>
      <w:bookmarkEnd w:id="301"/>
      <w:r>
        <w:rPr/>
        <w:t xml:space="preserve"> - Vestiário - Obra E.</w:t>
      </w:r>
      <w:bookmarkEnd w:id="300"/>
    </w:p>
    <w:p>
      <w:pPr>
        <w:pStyle w:val="ListParagraph"/>
        <w:ind w:hanging="0"/>
        <w:jc w:val="center"/>
        <w:rPr/>
      </w:pPr>
      <w:r>
        <w:rPr/>
        <w:drawing>
          <wp:inline distT="0" distB="0" distL="0" distR="0">
            <wp:extent cx="4330700" cy="3129915"/>
            <wp:effectExtent l="0" t="0" r="0" b="0"/>
            <wp:docPr id="105" name="Figura5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Figura59" descr=""/>
                    <pic:cNvPicPr>
                      <a:picLocks noChangeAspect="1" noChangeArrowheads="1"/>
                    </pic:cNvPicPr>
                  </pic:nvPicPr>
                  <pic:blipFill>
                    <a:blip r:embed="rId106"/>
                    <a:stretch>
                      <a:fillRect/>
                    </a:stretch>
                  </pic:blipFill>
                  <pic:spPr bwMode="auto">
                    <a:xfrm>
                      <a:off x="0" y="0"/>
                      <a:ext cx="4330700" cy="3129915"/>
                    </a:xfrm>
                    <a:prstGeom prst="rect">
                      <a:avLst/>
                    </a:prstGeom>
                  </pic:spPr>
                </pic:pic>
              </a:graphicData>
            </a:graphic>
          </wp:inline>
        </w:drawing>
      </w:r>
    </w:p>
    <w:p>
      <w:pPr>
        <w:pStyle w:val="Normal"/>
        <w:jc w:val="center"/>
        <w:rPr>
          <w:rFonts w:cs="Arial"/>
          <w:color w:val="000000" w:themeColor="text1"/>
          <w:sz w:val="20"/>
          <w:szCs w:val="20"/>
        </w:rPr>
      </w:pPr>
      <w:r>
        <w:rPr>
          <w:rFonts w:cs="Arial"/>
          <w:color w:val="000000" w:themeColor="text1"/>
          <w:sz w:val="20"/>
          <w:szCs w:val="20"/>
        </w:rPr>
        <w:t>Fonte: Autor próprio (2023).</w:t>
      </w:r>
    </w:p>
    <w:p>
      <w:pPr>
        <w:pStyle w:val="ListParagraph"/>
        <w:rPr/>
      </w:pPr>
      <w:r>
        <w:rPr/>
      </w:r>
    </w:p>
    <w:p>
      <w:pPr>
        <w:pStyle w:val="ListParagraph"/>
        <w:rPr>
          <w:rStyle w:val="Nfase"/>
          <w:i w:val="false"/>
          <w:i w:val="false"/>
          <w:iCs w:val="false"/>
        </w:rPr>
      </w:pPr>
      <w:r>
        <w:rPr>
          <w:rStyle w:val="Nfase"/>
          <w:i w:val="false"/>
          <w:iCs w:val="false"/>
        </w:rPr>
        <w:t>Observou-se que as instalações elétricas temporárias são executadas em conformidade com o projeto elétrico, além disso, é verificado a emissão de laudos de aterramento elétrico de proteção em conformidade com o projeto elétrico, sendo realizado por profissional legalmente habilitado.</w:t>
      </w:r>
    </w:p>
    <w:p>
      <w:pPr>
        <w:pStyle w:val="ListParagraph"/>
        <w:rPr/>
      </w:pPr>
      <w:r>
        <w:rPr/>
        <w:t>Foi constatado que os serviços de instalações elétricas na Obra E estão sendo realizados por eletricistas autorizados, garantindo a segurança no trabalho. Além disso, não foram identificadas áreas com partes energizadas expostas e acessíveis a trabalhadores não autorizados. Também foi verificado que os condutores elétricos não estão dispostos em áreas de circulação de pessoas.</w:t>
      </w:r>
    </w:p>
    <w:p>
      <w:pPr>
        <w:pStyle w:val="ListParagraph"/>
        <w:rPr/>
      </w:pPr>
      <w:r>
        <w:rPr/>
        <w:t xml:space="preserve">Nesse contexto, verificou-se que os quadros de distribuição das instalações elétricas estão devidamente identificados e sinalizados quanto ao risco de choque elétrico, conforme ilustrado na </w:t>
      </w:r>
      <w:r>
        <w:rPr/>
        <w:fldChar w:fldCharType="begin"/>
      </w:r>
      <w:r>
        <w:rPr/>
        <w:instrText> REF _Ref148989329 \h </w:instrText>
      </w:r>
      <w:r>
        <w:rPr/>
        <w:fldChar w:fldCharType="separate"/>
      </w:r>
      <w:r>
        <w:rPr/>
        <w:t>Figura 95</w:t>
      </w:r>
      <w:r>
        <w:rPr/>
        <w:fldChar w:fldCharType="end"/>
      </w:r>
      <w:r>
        <w:rPr/>
        <w:t xml:space="preserve">. Além disso, foi observada a utilização de dispositivos Diferencial Residual (DR) como medida de segurança adicional nas instalações elétricas o que está de acordo com a NR-18 (Brasil, 2021). </w:t>
      </w:r>
    </w:p>
    <w:p>
      <w:pPr>
        <w:pStyle w:val="Normal"/>
        <w:rPr/>
      </w:pPr>
      <w:r>
        <w:rPr/>
      </w:r>
    </w:p>
    <w:p>
      <w:pPr>
        <w:pStyle w:val="EstiloLegenda"/>
        <w:rPr/>
      </w:pPr>
      <w:bookmarkStart w:id="302" w:name="_Toc153611378"/>
      <w:bookmarkStart w:id="303" w:name="_Ref148989329"/>
      <w:r>
        <w:rPr/>
        <w:t xml:space="preserve">Figura </w:t>
      </w:r>
      <w:r>
        <w:rPr/>
        <w:fldChar w:fldCharType="begin"/>
      </w:r>
      <w:r>
        <w:rPr/>
        <w:instrText> SEQ Figura \* ARABIC </w:instrText>
      </w:r>
      <w:r>
        <w:rPr/>
        <w:fldChar w:fldCharType="separate"/>
      </w:r>
      <w:r>
        <w:rPr/>
        <w:t>95</w:t>
      </w:r>
      <w:r>
        <w:rPr/>
        <w:fldChar w:fldCharType="end"/>
      </w:r>
      <w:bookmarkEnd w:id="303"/>
      <w:r>
        <w:rPr/>
        <w:t xml:space="preserve"> - Quadro de distribuição das instalações elétricas - Obra E.</w:t>
      </w:r>
      <w:bookmarkEnd w:id="302"/>
    </w:p>
    <w:p>
      <w:pPr>
        <w:pStyle w:val="ListParagraph"/>
        <w:tabs>
          <w:tab w:val="clear" w:pos="708"/>
          <w:tab w:val="left" w:pos="8789" w:leader="none"/>
        </w:tabs>
        <w:ind w:hanging="0"/>
        <w:jc w:val="center"/>
        <w:rPr/>
      </w:pPr>
      <w:r>
        <w:rPr/>
        <w:drawing>
          <wp:inline distT="0" distB="0" distL="0" distR="0">
            <wp:extent cx="4330700" cy="3324225"/>
            <wp:effectExtent l="0" t="0" r="0" b="0"/>
            <wp:docPr id="106" name="Figura6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Figura60" descr=""/>
                    <pic:cNvPicPr>
                      <a:picLocks noChangeAspect="1" noChangeArrowheads="1"/>
                    </pic:cNvPicPr>
                  </pic:nvPicPr>
                  <pic:blipFill>
                    <a:blip r:embed="rId107"/>
                    <a:stretch>
                      <a:fillRect/>
                    </a:stretch>
                  </pic:blipFill>
                  <pic:spPr bwMode="auto">
                    <a:xfrm>
                      <a:off x="0" y="0"/>
                      <a:ext cx="4330700" cy="3324225"/>
                    </a:xfrm>
                    <a:prstGeom prst="rect">
                      <a:avLst/>
                    </a:prstGeom>
                  </pic:spPr>
                </pic:pic>
              </a:graphicData>
            </a:graphic>
          </wp:inline>
        </w:drawing>
      </w:r>
    </w:p>
    <w:p>
      <w:pPr>
        <w:pStyle w:val="ListParagraph"/>
        <w:spacing w:before="120" w:after="0"/>
        <w:ind w:hanging="0"/>
        <w:contextualSpacing/>
        <w:jc w:val="center"/>
        <w:rPr>
          <w:rFonts w:cs="Arial"/>
          <w:color w:val="000000" w:themeColor="text1"/>
          <w:sz w:val="20"/>
          <w:szCs w:val="20"/>
        </w:rPr>
      </w:pPr>
      <w:r>
        <w:rPr>
          <w:rFonts w:cs="Arial"/>
          <w:color w:val="000000" w:themeColor="text1"/>
          <w:sz w:val="20"/>
          <w:szCs w:val="20"/>
        </w:rPr>
        <w:t>Fonte: Autor próprio (2023).</w:t>
      </w:r>
    </w:p>
    <w:p>
      <w:pPr>
        <w:pStyle w:val="ListParagraph"/>
        <w:spacing w:before="120" w:after="0"/>
        <w:ind w:hanging="0"/>
        <w:contextualSpacing/>
        <w:jc w:val="center"/>
        <w:rPr>
          <w:rFonts w:cs="Arial"/>
          <w:color w:val="000000" w:themeColor="text1"/>
          <w:sz w:val="20"/>
          <w:szCs w:val="20"/>
        </w:rPr>
      </w:pPr>
      <w:r>
        <w:rPr>
          <w:rFonts w:cs="Arial"/>
          <w:color w:val="000000" w:themeColor="text1"/>
          <w:sz w:val="20"/>
          <w:szCs w:val="20"/>
        </w:rPr>
      </w:r>
    </w:p>
    <w:p>
      <w:pPr>
        <w:pStyle w:val="ListParagraph"/>
        <w:rPr/>
      </w:pPr>
      <w:r>
        <w:rPr/>
        <w:t xml:space="preserve">Quanto à necessidade de instalação de escadas para transposição de pisos, na Obra E, identificou-se duas escadas distintas. Uma delas é destinada ao acesso às áreas de serviço no canteiro, como evidenciado na </w:t>
      </w:r>
      <w:r>
        <w:rPr/>
        <w:fldChar w:fldCharType="begin"/>
      </w:r>
      <w:r>
        <w:rPr/>
        <w:instrText> REF _Ref149069745 \h </w:instrText>
      </w:r>
      <w:r>
        <w:rPr/>
        <w:fldChar w:fldCharType="separate"/>
      </w:r>
      <w:r>
        <w:rPr/>
        <w:t>Figura 96</w:t>
      </w:r>
      <w:r>
        <w:rPr/>
        <w:fldChar w:fldCharType="end"/>
      </w:r>
      <w:r>
        <w:rPr/>
        <w:t xml:space="preserve">, enquanto a outra é designada para permitir o acesso à administração da obra, conforme demonstrado na </w:t>
      </w:r>
      <w:r>
        <w:rPr/>
        <w:fldChar w:fldCharType="begin"/>
      </w:r>
      <w:r>
        <w:rPr/>
        <w:instrText> REF _Ref149069754 \h </w:instrText>
      </w:r>
      <w:r>
        <w:rPr/>
        <w:fldChar w:fldCharType="separate"/>
      </w:r>
      <w:r>
        <w:rPr/>
        <w:t>Figura 97</w:t>
      </w:r>
      <w:r>
        <w:rPr/>
        <w:fldChar w:fldCharType="end"/>
      </w:r>
      <w:r>
        <w:rPr/>
        <w:t>. É importante observar que ambas as escadas foram fabricadas em madeira e estão em conformidade com a NR-18, uma vez que não apresentam farpas, saliências ou emendas (Brasil, 2021).</w:t>
      </w:r>
    </w:p>
    <w:p>
      <w:pPr>
        <w:pStyle w:val="Normal"/>
        <w:rPr/>
      </w:pPr>
      <w:r>
        <w:rPr/>
      </w:r>
    </w:p>
    <w:p>
      <w:pPr>
        <w:pStyle w:val="EstiloLegenda"/>
        <w:rPr/>
      </w:pPr>
      <w:bookmarkStart w:id="304" w:name="_Toc153611379"/>
      <w:bookmarkStart w:id="305" w:name="_Ref149069745"/>
      <w:r>
        <w:rPr/>
        <w:t xml:space="preserve">Figura </w:t>
      </w:r>
      <w:r>
        <w:rPr/>
        <w:fldChar w:fldCharType="begin"/>
      </w:r>
      <w:r>
        <w:rPr/>
        <w:instrText> SEQ Figura \* ARABIC </w:instrText>
      </w:r>
      <w:r>
        <w:rPr/>
        <w:fldChar w:fldCharType="separate"/>
      </w:r>
      <w:r>
        <w:rPr/>
        <w:t>96</w:t>
      </w:r>
      <w:r>
        <w:rPr/>
        <w:fldChar w:fldCharType="end"/>
      </w:r>
      <w:bookmarkEnd w:id="305"/>
      <w:r>
        <w:rPr/>
        <w:t xml:space="preserve"> - Escada de acesso ao canteiro - Obra E.</w:t>
      </w:r>
      <w:bookmarkEnd w:id="304"/>
    </w:p>
    <w:p>
      <w:pPr>
        <w:pStyle w:val="ListParagraph"/>
        <w:tabs>
          <w:tab w:val="clear" w:pos="708"/>
          <w:tab w:val="left" w:pos="8789" w:leader="none"/>
        </w:tabs>
        <w:ind w:hanging="0"/>
        <w:jc w:val="center"/>
        <w:rPr/>
      </w:pPr>
      <w:r>
        <w:rPr/>
        <w:drawing>
          <wp:inline distT="0" distB="0" distL="0" distR="0">
            <wp:extent cx="4330700" cy="3137535"/>
            <wp:effectExtent l="0" t="0" r="0" b="0"/>
            <wp:docPr id="107" name="Figura6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Figura61" descr=""/>
                    <pic:cNvPicPr>
                      <a:picLocks noChangeAspect="1" noChangeArrowheads="1"/>
                    </pic:cNvPicPr>
                  </pic:nvPicPr>
                  <pic:blipFill>
                    <a:blip r:embed="rId108"/>
                    <a:stretch>
                      <a:fillRect/>
                    </a:stretch>
                  </pic:blipFill>
                  <pic:spPr bwMode="auto">
                    <a:xfrm>
                      <a:off x="0" y="0"/>
                      <a:ext cx="4330700" cy="3137535"/>
                    </a:xfrm>
                    <a:prstGeom prst="rect">
                      <a:avLst/>
                    </a:prstGeom>
                  </pic:spPr>
                </pic:pic>
              </a:graphicData>
            </a:graphic>
          </wp:inline>
        </w:drawing>
      </w:r>
    </w:p>
    <w:p>
      <w:pPr>
        <w:pStyle w:val="ListParagraph"/>
        <w:spacing w:before="120" w:after="0"/>
        <w:ind w:hanging="0"/>
        <w:contextualSpacing/>
        <w:jc w:val="center"/>
        <w:rPr>
          <w:rFonts w:cs="Arial"/>
          <w:color w:val="000000" w:themeColor="text1"/>
          <w:sz w:val="20"/>
          <w:szCs w:val="20"/>
        </w:rPr>
      </w:pPr>
      <w:r>
        <w:rPr>
          <w:rFonts w:cs="Arial"/>
          <w:color w:val="000000" w:themeColor="text1"/>
          <w:sz w:val="20"/>
          <w:szCs w:val="20"/>
        </w:rPr>
        <w:t>Fonte: Autor próprio (2023).</w:t>
      </w:r>
    </w:p>
    <w:p>
      <w:pPr>
        <w:pStyle w:val="Normal"/>
        <w:tabs>
          <w:tab w:val="clear" w:pos="708"/>
          <w:tab w:val="left" w:pos="8789" w:leader="none"/>
        </w:tabs>
        <w:rPr/>
      </w:pPr>
      <w:r>
        <w:rPr/>
      </w:r>
    </w:p>
    <w:p>
      <w:pPr>
        <w:pStyle w:val="EstiloLegenda"/>
        <w:rPr/>
      </w:pPr>
      <w:bookmarkStart w:id="306" w:name="_Toc153611380"/>
      <w:bookmarkStart w:id="307" w:name="_Ref149069754"/>
      <w:r>
        <w:rPr/>
        <w:t xml:space="preserve">Figura </w:t>
      </w:r>
      <w:r>
        <w:rPr/>
        <w:fldChar w:fldCharType="begin"/>
      </w:r>
      <w:r>
        <w:rPr/>
        <w:instrText> SEQ Figura \* ARABIC </w:instrText>
      </w:r>
      <w:r>
        <w:rPr/>
        <w:fldChar w:fldCharType="separate"/>
      </w:r>
      <w:r>
        <w:rPr/>
        <w:t>97</w:t>
      </w:r>
      <w:r>
        <w:rPr/>
        <w:fldChar w:fldCharType="end"/>
      </w:r>
      <w:bookmarkEnd w:id="307"/>
      <w:r>
        <w:rPr/>
        <w:t xml:space="preserve"> - Escada de acesso a administração - Obra E.</w:t>
      </w:r>
      <w:bookmarkEnd w:id="306"/>
    </w:p>
    <w:p>
      <w:pPr>
        <w:pStyle w:val="ListParagraph"/>
        <w:tabs>
          <w:tab w:val="clear" w:pos="708"/>
          <w:tab w:val="left" w:pos="8789" w:leader="none"/>
        </w:tabs>
        <w:ind w:hanging="0"/>
        <w:jc w:val="center"/>
        <w:rPr/>
      </w:pPr>
      <w:r>
        <w:rPr/>
        <w:drawing>
          <wp:inline distT="0" distB="0" distL="0" distR="0">
            <wp:extent cx="4330700" cy="3060065"/>
            <wp:effectExtent l="0" t="0" r="0" b="0"/>
            <wp:docPr id="108" name="Figura6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Figura62" descr=""/>
                    <pic:cNvPicPr>
                      <a:picLocks noChangeAspect="1" noChangeArrowheads="1"/>
                    </pic:cNvPicPr>
                  </pic:nvPicPr>
                  <pic:blipFill>
                    <a:blip r:embed="rId109"/>
                    <a:stretch>
                      <a:fillRect/>
                    </a:stretch>
                  </pic:blipFill>
                  <pic:spPr bwMode="auto">
                    <a:xfrm>
                      <a:off x="0" y="0"/>
                      <a:ext cx="4330700" cy="3060065"/>
                    </a:xfrm>
                    <a:prstGeom prst="rect">
                      <a:avLst/>
                    </a:prstGeom>
                  </pic:spPr>
                </pic:pic>
              </a:graphicData>
            </a:graphic>
          </wp:inline>
        </w:drawing>
      </w:r>
    </w:p>
    <w:p>
      <w:pPr>
        <w:pStyle w:val="ListParagraph"/>
        <w:spacing w:before="120" w:after="0"/>
        <w:ind w:hanging="0"/>
        <w:contextualSpacing/>
        <w:jc w:val="center"/>
        <w:rPr>
          <w:rFonts w:cs="Arial"/>
          <w:color w:val="000000" w:themeColor="text1"/>
          <w:sz w:val="20"/>
          <w:szCs w:val="20"/>
        </w:rPr>
      </w:pPr>
      <w:r>
        <w:rPr>
          <w:rFonts w:cs="Arial"/>
          <w:color w:val="000000" w:themeColor="text1"/>
          <w:sz w:val="20"/>
          <w:szCs w:val="20"/>
        </w:rPr>
        <w:t>Fonte: Autor próprio (2023).</w:t>
      </w:r>
    </w:p>
    <w:p>
      <w:pPr>
        <w:pStyle w:val="ListParagraph"/>
        <w:rPr/>
      </w:pPr>
      <w:r>
        <w:rPr/>
        <w:t xml:space="preserve">Durante a inspeção realizada na Obra E, não foram encontradas máquinas ou equipamentos em funcionamento, tampouco foram identificados andaimes ou plataformas de trabalho. </w:t>
      </w:r>
    </w:p>
    <w:p>
      <w:pPr>
        <w:pStyle w:val="ListParagraph"/>
        <w:rPr/>
      </w:pPr>
      <w:r>
        <w:rPr/>
        <w:t>É importante ressaltar que a entrada e a permanência dos trabalhadores no canteiro de obras da Obra E só ocorrem após a autorização da profissional responsável pela segurança no trabalho da obra, a qual verifica se os funcionários estão resguardados pelas medidas previstas na NR-18.</w:t>
      </w:r>
    </w:p>
    <w:p>
      <w:pPr>
        <w:pStyle w:val="ListParagraph"/>
        <w:rPr/>
      </w:pPr>
      <w:r>
        <w:rPr/>
        <w:t>Constatou-se que todos os colaboradores receberam treinamento em conformidade com a NR-18. Além disso, foi verificada a realização de avaliações para aferir o conhecimento adquirido por eles. É importante ressaltar que as imagens dos certificados e das avaliações não foram disponibilizadas, devido à natureza interna desses documentos. Esses registros contêm informações pessoais, como o nome do colaborador, sua função, o nome da empresa e do empreendimento.</w:t>
      </w:r>
    </w:p>
    <w:p>
      <w:pPr>
        <w:pStyle w:val="ListParagraph"/>
        <w:rPr/>
      </w:pPr>
      <w:r>
        <w:rPr/>
        <w:t xml:space="preserve">No que diz respeito à sinalização do canteiro, constatou-se a presença de apenas algumas unidades de placas de segurança. A </w:t>
      </w:r>
      <w:r>
        <w:rPr/>
        <w:fldChar w:fldCharType="begin"/>
      </w:r>
      <w:r>
        <w:rPr/>
        <w:instrText> REF _Ref149071594 \h </w:instrText>
      </w:r>
      <w:r>
        <w:rPr/>
        <w:fldChar w:fldCharType="separate"/>
      </w:r>
      <w:r>
        <w:rPr/>
        <w:t>Figura 98</w:t>
      </w:r>
      <w:r>
        <w:rPr/>
        <w:fldChar w:fldCharType="end"/>
      </w:r>
      <w:r>
        <w:rPr/>
        <w:t xml:space="preserve"> exemplifica as placas de segurança presentes no local, as quais ressaltam a obrigatoriedade do uso de EPI e indicam a passagem destinada a pedestres. Não sendo identificada placa de saída de emergência, nem placa de movimentação e transporte de materiais e circulação de veículos. </w:t>
      </w:r>
    </w:p>
    <w:p>
      <w:pPr>
        <w:pStyle w:val="Normal"/>
        <w:rPr/>
      </w:pPr>
      <w:r>
        <w:rPr/>
      </w:r>
    </w:p>
    <w:p>
      <w:pPr>
        <w:pStyle w:val="EstiloLegenda"/>
        <w:rPr/>
      </w:pPr>
      <w:bookmarkStart w:id="308" w:name="_Toc153611381"/>
      <w:bookmarkStart w:id="309" w:name="_Ref149071594"/>
      <w:r>
        <w:rPr/>
        <w:t xml:space="preserve">Figura </w:t>
      </w:r>
      <w:r>
        <w:rPr/>
        <w:fldChar w:fldCharType="begin"/>
      </w:r>
      <w:r>
        <w:rPr/>
        <w:instrText> SEQ Figura \* ARABIC </w:instrText>
      </w:r>
      <w:r>
        <w:rPr/>
        <w:fldChar w:fldCharType="separate"/>
      </w:r>
      <w:r>
        <w:rPr/>
        <w:t>98</w:t>
      </w:r>
      <w:r>
        <w:rPr/>
        <w:fldChar w:fldCharType="end"/>
      </w:r>
      <w:bookmarkEnd w:id="309"/>
      <w:r>
        <w:rPr/>
        <w:t xml:space="preserve"> - Sinalização do canteiro - Obra E</w:t>
      </w:r>
      <w:bookmarkEnd w:id="308"/>
    </w:p>
    <w:p>
      <w:pPr>
        <w:pStyle w:val="ListParagraph"/>
        <w:tabs>
          <w:tab w:val="clear" w:pos="708"/>
          <w:tab w:val="left" w:pos="567" w:leader="none"/>
          <w:tab w:val="left" w:pos="8789" w:leader="none"/>
        </w:tabs>
        <w:ind w:hanging="0"/>
        <w:jc w:val="center"/>
        <w:rPr/>
      </w:pPr>
      <w:r>
        <w:rPr/>
        <w:drawing>
          <wp:inline distT="0" distB="0" distL="0" distR="0">
            <wp:extent cx="3970655" cy="2655570"/>
            <wp:effectExtent l="0" t="0" r="0" b="0"/>
            <wp:docPr id="109" name="Figura6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Figura63" descr=""/>
                    <pic:cNvPicPr>
                      <a:picLocks noChangeAspect="1" noChangeArrowheads="1"/>
                    </pic:cNvPicPr>
                  </pic:nvPicPr>
                  <pic:blipFill>
                    <a:blip r:embed="rId110"/>
                    <a:stretch>
                      <a:fillRect/>
                    </a:stretch>
                  </pic:blipFill>
                  <pic:spPr bwMode="auto">
                    <a:xfrm>
                      <a:off x="0" y="0"/>
                      <a:ext cx="3970655" cy="2655570"/>
                    </a:xfrm>
                    <a:prstGeom prst="rect">
                      <a:avLst/>
                    </a:prstGeom>
                  </pic:spPr>
                </pic:pic>
              </a:graphicData>
            </a:graphic>
          </wp:inline>
        </w:drawing>
      </w:r>
    </w:p>
    <w:p>
      <w:pPr>
        <w:pStyle w:val="ListParagraph"/>
        <w:spacing w:before="120" w:after="0"/>
        <w:ind w:hanging="0"/>
        <w:contextualSpacing/>
        <w:jc w:val="center"/>
        <w:rPr>
          <w:rFonts w:cs="Arial"/>
          <w:color w:val="000000" w:themeColor="text1"/>
          <w:sz w:val="20"/>
          <w:szCs w:val="20"/>
        </w:rPr>
      </w:pPr>
      <w:r>
        <w:rPr>
          <w:rFonts w:cs="Arial"/>
          <w:color w:val="000000" w:themeColor="text1"/>
          <w:sz w:val="20"/>
          <w:szCs w:val="20"/>
        </w:rPr>
        <w:t>Fonte: Autor próprio (2023).</w:t>
      </w:r>
    </w:p>
    <w:p>
      <w:pPr>
        <w:pStyle w:val="ListParagraph"/>
        <w:rPr/>
      </w:pPr>
      <w:r>
        <w:rPr/>
        <w:t xml:space="preserve">No que diz respeito à necessidade de identificação dos circuitos elétricos, observa-se que a Obra E não está em conformidade com este requisito. Como ilustrado na </w:t>
      </w:r>
      <w:r>
        <w:rPr/>
        <w:fldChar w:fldCharType="begin"/>
      </w:r>
      <w:r>
        <w:rPr/>
        <w:instrText> REF _Ref149248144 \h </w:instrText>
      </w:r>
      <w:r>
        <w:rPr/>
        <w:fldChar w:fldCharType="separate"/>
      </w:r>
      <w:r>
        <w:rPr/>
        <w:t>Figura 99</w:t>
      </w:r>
      <w:r>
        <w:rPr/>
        <w:fldChar w:fldCharType="end"/>
      </w:r>
      <w:r>
        <w:rPr/>
        <w:t xml:space="preserve"> o quadro de distribuição das instalações elétricas, mencionado na </w:t>
      </w:r>
      <w:r>
        <w:rPr/>
        <w:fldChar w:fldCharType="begin"/>
      </w:r>
      <w:r>
        <w:rPr/>
        <w:instrText> REF _Ref148989329 \h </w:instrText>
      </w:r>
      <w:r>
        <w:rPr/>
        <w:fldChar w:fldCharType="separate"/>
      </w:r>
      <w:r>
        <w:rPr/>
        <w:t>Figura 95</w:t>
      </w:r>
      <w:r>
        <w:rPr/>
        <w:fldChar w:fldCharType="end"/>
      </w:r>
      <w:r>
        <w:rPr/>
        <w:t>, apresenta circuitos sem identificação, o que está em desacordo com as diretrizes estabelecidas pela NR-18.</w:t>
      </w:r>
    </w:p>
    <w:p>
      <w:pPr>
        <w:pStyle w:val="EstiloLegenda"/>
        <w:rPr/>
      </w:pPr>
      <w:r>
        <w:rPr/>
      </w:r>
    </w:p>
    <w:p>
      <w:pPr>
        <w:pStyle w:val="EstiloLegenda"/>
        <w:rPr/>
      </w:pPr>
      <w:bookmarkStart w:id="310" w:name="_Toc153611382"/>
      <w:bookmarkStart w:id="311" w:name="_Ref149248144"/>
      <w:r>
        <w:rPr/>
        <w:t xml:space="preserve">Figura </w:t>
      </w:r>
      <w:r>
        <w:rPr/>
        <w:fldChar w:fldCharType="begin"/>
      </w:r>
      <w:r>
        <w:rPr/>
        <w:instrText> SEQ Figura \* ARABIC </w:instrText>
      </w:r>
      <w:r>
        <w:rPr/>
        <w:fldChar w:fldCharType="separate"/>
      </w:r>
      <w:r>
        <w:rPr/>
        <w:t>99</w:t>
      </w:r>
      <w:r>
        <w:rPr/>
        <w:fldChar w:fldCharType="end"/>
      </w:r>
      <w:bookmarkEnd w:id="311"/>
      <w:r>
        <w:rPr/>
        <w:t xml:space="preserve"> - Ausência de identificação dos circuitos elétricos – Obra E.</w:t>
      </w:r>
      <w:bookmarkEnd w:id="310"/>
    </w:p>
    <w:p>
      <w:pPr>
        <w:pStyle w:val="ListParagraph"/>
        <w:tabs>
          <w:tab w:val="clear" w:pos="708"/>
          <w:tab w:val="left" w:pos="567" w:leader="none"/>
          <w:tab w:val="left" w:pos="8789" w:leader="none"/>
        </w:tabs>
        <w:ind w:hanging="0"/>
        <w:jc w:val="center"/>
        <w:rPr/>
      </w:pPr>
      <w:r>
        <w:rPr/>
        <w:drawing>
          <wp:inline distT="0" distB="0" distL="0" distR="0">
            <wp:extent cx="3970655" cy="3239770"/>
            <wp:effectExtent l="0" t="0" r="0" b="0"/>
            <wp:docPr id="110" name="Figura6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Figura64" descr=""/>
                    <pic:cNvPicPr>
                      <a:picLocks noChangeAspect="1" noChangeArrowheads="1"/>
                    </pic:cNvPicPr>
                  </pic:nvPicPr>
                  <pic:blipFill>
                    <a:blip r:embed="rId111"/>
                    <a:stretch>
                      <a:fillRect/>
                    </a:stretch>
                  </pic:blipFill>
                  <pic:spPr bwMode="auto">
                    <a:xfrm>
                      <a:off x="0" y="0"/>
                      <a:ext cx="3970655" cy="3239770"/>
                    </a:xfrm>
                    <a:prstGeom prst="rect">
                      <a:avLst/>
                    </a:prstGeom>
                  </pic:spPr>
                </pic:pic>
              </a:graphicData>
            </a:graphic>
          </wp:inline>
        </w:drawing>
      </w:r>
    </w:p>
    <w:p>
      <w:pPr>
        <w:pStyle w:val="ListParagraph"/>
        <w:spacing w:before="120" w:after="0"/>
        <w:ind w:hanging="0"/>
        <w:contextualSpacing/>
        <w:jc w:val="center"/>
        <w:rPr>
          <w:rFonts w:cs="Arial"/>
          <w:color w:val="000000" w:themeColor="text1"/>
          <w:sz w:val="20"/>
          <w:szCs w:val="20"/>
        </w:rPr>
      </w:pPr>
      <w:r>
        <w:rPr>
          <w:rFonts w:cs="Arial"/>
          <w:color w:val="000000" w:themeColor="text1"/>
          <w:sz w:val="20"/>
          <w:szCs w:val="20"/>
        </w:rPr>
        <w:t>Fonte: Autor próprio (2023).</w:t>
      </w:r>
    </w:p>
    <w:p>
      <w:pPr>
        <w:pStyle w:val="ListParagraph"/>
        <w:spacing w:before="120" w:after="0"/>
        <w:ind w:hanging="0"/>
        <w:contextualSpacing/>
        <w:jc w:val="center"/>
        <w:rPr>
          <w:rFonts w:cs="Arial"/>
          <w:color w:val="000000" w:themeColor="text1"/>
          <w:sz w:val="20"/>
          <w:szCs w:val="20"/>
        </w:rPr>
      </w:pPr>
      <w:r>
        <w:rPr>
          <w:rFonts w:cs="Arial"/>
          <w:color w:val="000000" w:themeColor="text1"/>
          <w:sz w:val="20"/>
          <w:szCs w:val="20"/>
        </w:rPr>
      </w:r>
    </w:p>
    <w:p>
      <w:pPr>
        <w:pStyle w:val="ListParagraph"/>
        <w:rPr/>
      </w:pPr>
      <w:r>
        <w:rPr/>
        <w:t xml:space="preserve">Observou-se a falta de guarda-corpos ou de qualquer outra medida destinada a evitar quedas em uma área onde há o risco de queda, conforme ilustrado na </w:t>
      </w:r>
    </w:p>
    <w:p>
      <w:pPr>
        <w:pStyle w:val="ListParagraph"/>
        <w:rPr/>
      </w:pPr>
      <w:r>
        <w:rPr/>
        <w:fldChar w:fldCharType="begin"/>
      </w:r>
      <w:r>
        <w:rPr/>
        <w:instrText> REF _Ref149320452 \h </w:instrText>
      </w:r>
      <w:r>
        <w:rPr/>
        <w:fldChar w:fldCharType="separate"/>
      </w:r>
      <w:r>
        <w:rPr/>
      </w:r>
      <w:r>
        <w:rPr/>
        <w:fldChar w:fldCharType="end"/>
      </w:r>
      <w:r>
        <w:rPr/>
        <w:t>. Reforça-se a importância das medidas de proteção contra quedas, uma vez que essas ações são essenciais para reduzir significativamente o risco de acidentes graves.</w:t>
      </w:r>
      <w:bookmarkStart w:id="312" w:name="_Ref149320452"/>
    </w:p>
    <w:p>
      <w:pPr>
        <w:pStyle w:val="EstiloLegenda"/>
        <w:rPr/>
      </w:pPr>
      <w:bookmarkStart w:id="313" w:name="_Toc153611383"/>
      <w:r>
        <w:rPr/>
        <w:t xml:space="preserve">Figura </w:t>
      </w:r>
      <w:r>
        <w:rPr/>
        <w:fldChar w:fldCharType="begin"/>
      </w:r>
      <w:r>
        <w:rPr/>
        <w:instrText> SEQ Figura \* ARABIC </w:instrText>
      </w:r>
      <w:r>
        <w:rPr/>
        <w:fldChar w:fldCharType="separate"/>
      </w:r>
      <w:r>
        <w:rPr/>
        <w:t>100</w:t>
      </w:r>
      <w:r>
        <w:rPr/>
        <w:fldChar w:fldCharType="end"/>
      </w:r>
      <w:bookmarkEnd w:id="312"/>
      <w:r>
        <w:rPr/>
        <w:t xml:space="preserve"> - Ausência de guarda-corpo - Obra E.</w:t>
      </w:r>
      <w:bookmarkEnd w:id="313"/>
    </w:p>
    <w:p>
      <w:pPr>
        <w:pStyle w:val="ListParagraph"/>
        <w:jc w:val="center"/>
        <w:rPr/>
      </w:pPr>
      <w:r>
        <w:rPr/>
        <w:drawing>
          <wp:inline distT="0" distB="0" distL="0" distR="0">
            <wp:extent cx="3970655" cy="2607310"/>
            <wp:effectExtent l="0" t="0" r="0" b="0"/>
            <wp:docPr id="111" name="Figura6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Figura65" descr=""/>
                    <pic:cNvPicPr>
                      <a:picLocks noChangeAspect="1" noChangeArrowheads="1"/>
                    </pic:cNvPicPr>
                  </pic:nvPicPr>
                  <pic:blipFill>
                    <a:blip r:embed="rId112"/>
                    <a:stretch>
                      <a:fillRect/>
                    </a:stretch>
                  </pic:blipFill>
                  <pic:spPr bwMode="auto">
                    <a:xfrm>
                      <a:off x="0" y="0"/>
                      <a:ext cx="3970655" cy="2607310"/>
                    </a:xfrm>
                    <a:prstGeom prst="rect">
                      <a:avLst/>
                    </a:prstGeom>
                  </pic:spPr>
                </pic:pic>
              </a:graphicData>
            </a:graphic>
          </wp:inline>
        </w:drawing>
      </w:r>
    </w:p>
    <w:p>
      <w:pPr>
        <w:pStyle w:val="ListParagraph"/>
        <w:tabs>
          <w:tab w:val="clear" w:pos="708"/>
          <w:tab w:val="left" w:pos="8789" w:leader="none"/>
        </w:tabs>
        <w:jc w:val="center"/>
        <w:rPr>
          <w:rFonts w:cs="Arial"/>
          <w:color w:val="000000" w:themeColor="text1"/>
          <w:sz w:val="20"/>
          <w:szCs w:val="20"/>
        </w:rPr>
      </w:pPr>
      <w:r>
        <w:rPr>
          <w:rFonts w:cs="Arial"/>
          <w:color w:val="000000" w:themeColor="text1"/>
          <w:sz w:val="20"/>
          <w:szCs w:val="20"/>
        </w:rPr>
        <w:t>Fonte: Autor próprio (2023).</w:t>
      </w:r>
    </w:p>
    <w:p>
      <w:pPr>
        <w:pStyle w:val="ListParagraph"/>
        <w:tabs>
          <w:tab w:val="clear" w:pos="708"/>
          <w:tab w:val="left" w:pos="8789" w:leader="none"/>
        </w:tabs>
        <w:jc w:val="center"/>
        <w:rPr/>
      </w:pPr>
      <w:r>
        <w:rPr/>
      </w:r>
    </w:p>
    <w:p>
      <w:pPr>
        <w:pStyle w:val="ListParagraph"/>
        <w:rPr/>
      </w:pPr>
      <w:r>
        <w:rPr/>
        <w:t xml:space="preserve">A NR-18 estabelece diretrizes para a organização do canteiro de obras, onde é fundamental que o local esteja sempre limpo e desimpedido, garantindo condições seguras para a circulação de pessoas (Brasil, 2021). No entanto, de acordo com a observação da </w:t>
      </w:r>
      <w:r>
        <w:rPr/>
        <w:fldChar w:fldCharType="begin"/>
      </w:r>
      <w:r>
        <w:rPr/>
        <w:instrText> REF _Ref149321305 \h </w:instrText>
      </w:r>
      <w:r>
        <w:rPr/>
        <w:fldChar w:fldCharType="separate"/>
      </w:r>
      <w:r>
        <w:rPr/>
        <w:t>Figura 101</w:t>
      </w:r>
      <w:r>
        <w:rPr/>
        <w:fldChar w:fldCharType="end"/>
      </w:r>
      <w:r>
        <w:rPr/>
        <w:t>, constata-se a presença de materiais dispersos pelo canteiro, juntamente com máquinas inativas, em áreas onde pessoas estão trabalhando. Portanto, Obra E está não conforme com este item.</w:t>
      </w:r>
    </w:p>
    <w:p>
      <w:pPr>
        <w:pStyle w:val="ListParagraph"/>
        <w:tabs>
          <w:tab w:val="clear" w:pos="708"/>
          <w:tab w:val="left" w:pos="8789" w:leader="none"/>
        </w:tabs>
        <w:rPr/>
      </w:pPr>
      <w:r>
        <w:rPr/>
      </w:r>
    </w:p>
    <w:p>
      <w:pPr>
        <w:pStyle w:val="EstiloLegenda"/>
        <w:rPr/>
      </w:pPr>
      <w:bookmarkStart w:id="314" w:name="_Toc153611384"/>
      <w:bookmarkStart w:id="315" w:name="_Ref149321305"/>
      <w:r>
        <w:rPr/>
        <w:t xml:space="preserve">Figura </w:t>
      </w:r>
      <w:r>
        <w:rPr/>
        <w:fldChar w:fldCharType="begin"/>
      </w:r>
      <w:r>
        <w:rPr/>
        <w:instrText> SEQ Figura \* ARABIC </w:instrText>
      </w:r>
      <w:r>
        <w:rPr/>
        <w:fldChar w:fldCharType="separate"/>
      </w:r>
      <w:r>
        <w:rPr/>
        <w:t>101</w:t>
      </w:r>
      <w:r>
        <w:rPr/>
        <w:fldChar w:fldCharType="end"/>
      </w:r>
      <w:bookmarkEnd w:id="315"/>
      <w:r>
        <w:rPr/>
        <w:t xml:space="preserve"> - Materiais fora de lugar e em local de passagem - Obra E</w:t>
      </w:r>
      <w:bookmarkEnd w:id="314"/>
    </w:p>
    <w:p>
      <w:pPr>
        <w:pStyle w:val="ListParagraph"/>
        <w:tabs>
          <w:tab w:val="clear" w:pos="708"/>
          <w:tab w:val="left" w:pos="8789" w:leader="none"/>
        </w:tabs>
        <w:ind w:hanging="0"/>
        <w:jc w:val="center"/>
        <w:rPr/>
      </w:pPr>
      <w:r>
        <w:rPr/>
        <w:drawing>
          <wp:inline distT="0" distB="0" distL="0" distR="0">
            <wp:extent cx="4330700" cy="3265805"/>
            <wp:effectExtent l="0" t="0" r="0" b="0"/>
            <wp:docPr id="112" name="Figura6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Figura66" descr=""/>
                    <pic:cNvPicPr>
                      <a:picLocks noChangeAspect="1" noChangeArrowheads="1"/>
                    </pic:cNvPicPr>
                  </pic:nvPicPr>
                  <pic:blipFill>
                    <a:blip r:embed="rId113"/>
                    <a:stretch>
                      <a:fillRect/>
                    </a:stretch>
                  </pic:blipFill>
                  <pic:spPr bwMode="auto">
                    <a:xfrm>
                      <a:off x="0" y="0"/>
                      <a:ext cx="4330700" cy="3265805"/>
                    </a:xfrm>
                    <a:prstGeom prst="rect">
                      <a:avLst/>
                    </a:prstGeom>
                  </pic:spPr>
                </pic:pic>
              </a:graphicData>
            </a:graphic>
          </wp:inline>
        </w:drawing>
      </w:r>
    </w:p>
    <w:p>
      <w:pPr>
        <w:pStyle w:val="ListParagraph"/>
        <w:tabs>
          <w:tab w:val="clear" w:pos="708"/>
          <w:tab w:val="left" w:pos="8789" w:leader="none"/>
        </w:tabs>
        <w:jc w:val="center"/>
        <w:rPr/>
      </w:pPr>
      <w:r>
        <w:rPr>
          <w:rFonts w:cs="Arial"/>
          <w:color w:val="000000" w:themeColor="text1"/>
          <w:sz w:val="20"/>
          <w:szCs w:val="20"/>
        </w:rPr>
        <w:t>Fonte: Autor próprio (2023).</w:t>
      </w:r>
    </w:p>
    <w:p>
      <w:pPr>
        <w:pStyle w:val="Normal"/>
        <w:tabs>
          <w:tab w:val="clear" w:pos="708"/>
          <w:tab w:val="left" w:pos="8789" w:leader="none"/>
        </w:tabs>
        <w:rPr/>
      </w:pPr>
      <w:r>
        <w:rPr/>
      </w:r>
    </w:p>
    <w:p>
      <w:pPr>
        <w:pStyle w:val="ListParagraph"/>
        <w:rPr/>
      </w:pPr>
      <w:r>
        <w:rPr/>
        <w:t xml:space="preserve">O </w:t>
      </w:r>
      <w:r>
        <w:rPr/>
        <w:fldChar w:fldCharType="begin"/>
      </w:r>
      <w:r>
        <w:rPr/>
        <w:instrText> REF _Ref149420470 \h </w:instrText>
      </w:r>
      <w:r>
        <w:rPr/>
        <w:fldChar w:fldCharType="separate"/>
      </w:r>
      <w:r>
        <w:rPr/>
        <w:t>Quadro 10</w:t>
      </w:r>
      <w:r>
        <w:rPr/>
        <w:fldChar w:fldCharType="end"/>
      </w:r>
      <w:r>
        <w:rPr/>
        <w:t xml:space="preserve"> apresenta a quantidade total de itens conformes, itens não conformes, itens parciais e itens não avaliados que foram constatados na Obra E, através do </w:t>
      </w:r>
      <w:r>
        <w:rPr>
          <w:i/>
          <w:iCs/>
        </w:rPr>
        <w:t xml:space="preserve">checklist </w:t>
      </w:r>
      <w:r>
        <w:rPr/>
        <w:t xml:space="preserve">preenchido de acordo com o </w:t>
      </w:r>
      <w:r>
        <w:rPr/>
        <w:fldChar w:fldCharType="begin"/>
      </w:r>
      <w:r>
        <w:rPr/>
        <w:instrText> REF _Ref136185560 \h </w:instrText>
      </w:r>
      <w:r>
        <w:rPr/>
        <w:fldChar w:fldCharType="separate"/>
      </w:r>
      <w:r>
        <w:rPr/>
        <w:t>Quadro 1</w:t>
      </w:r>
      <w:r>
        <w:rPr/>
        <w:fldChar w:fldCharType="end"/>
      </w:r>
      <w:r>
        <w:rPr/>
        <w:t>.</w:t>
      </w:r>
    </w:p>
    <w:p>
      <w:pPr>
        <w:pStyle w:val="EstiloLegenda"/>
        <w:rPr/>
      </w:pPr>
      <w:r>
        <w:rPr/>
      </w:r>
    </w:p>
    <w:p>
      <w:pPr>
        <w:pStyle w:val="EstiloLegenda"/>
        <w:rPr/>
      </w:pPr>
      <w:bookmarkStart w:id="316" w:name="_Toc153384333"/>
      <w:bookmarkStart w:id="317" w:name="_Ref149420470"/>
      <w:r>
        <w:rPr/>
        <w:t xml:space="preserve">Quadro </w:t>
      </w:r>
      <w:r>
        <w:rPr/>
        <w:fldChar w:fldCharType="begin"/>
      </w:r>
      <w:r>
        <w:rPr/>
        <w:instrText> SEQ Quadro \* ARABIC </w:instrText>
      </w:r>
      <w:r>
        <w:rPr/>
        <w:fldChar w:fldCharType="separate"/>
      </w:r>
      <w:r>
        <w:rPr/>
        <w:t>10</w:t>
      </w:r>
      <w:r>
        <w:rPr/>
        <w:fldChar w:fldCharType="end"/>
      </w:r>
      <w:bookmarkEnd w:id="317"/>
      <w:r>
        <w:rPr/>
        <w:t xml:space="preserve"> - Totais de itens - Obra E.</w:t>
      </w:r>
      <w:bookmarkEnd w:id="316"/>
    </w:p>
    <w:tbl>
      <w:tblPr>
        <w:tblStyle w:val="Tabelacomgrade"/>
        <w:tblW w:w="9061" w:type="dxa"/>
        <w:jc w:val="left"/>
        <w:tblInd w:w="0" w:type="dxa"/>
        <w:tblCellMar>
          <w:top w:w="0" w:type="dxa"/>
          <w:left w:w="108" w:type="dxa"/>
          <w:bottom w:w="0" w:type="dxa"/>
          <w:right w:w="108" w:type="dxa"/>
        </w:tblCellMar>
        <w:tblLook w:firstRow="1" w:noVBand="1" w:lastRow="0" w:firstColumn="1" w:lastColumn="0" w:noHBand="0" w:val="04a0"/>
      </w:tblPr>
      <w:tblGrid>
        <w:gridCol w:w="4530"/>
        <w:gridCol w:w="4530"/>
      </w:tblGrid>
      <w:tr>
        <w:trPr>
          <w:trHeight w:val="369" w:hRule="atLeast"/>
        </w:trPr>
        <w:tc>
          <w:tcPr>
            <w:tcW w:w="4530" w:type="dxa"/>
            <w:tcBorders/>
            <w:shd w:color="auto" w:fill="E7E6E6" w:themeFill="background2" w:val="clear"/>
            <w:vAlign w:val="center"/>
          </w:tcPr>
          <w:p>
            <w:pPr>
              <w:pStyle w:val="ListParagraph"/>
              <w:ind w:hanging="0"/>
              <w:jc w:val="center"/>
              <w:rPr>
                <w:b/>
                <w:b/>
                <w:bCs/>
                <w:color w:val="000000" w:themeColor="text1"/>
                <w:sz w:val="20"/>
                <w:szCs w:val="20"/>
              </w:rPr>
            </w:pPr>
            <w:r>
              <w:rPr>
                <w:b/>
                <w:bCs/>
                <w:color w:val="000000" w:themeColor="text1"/>
                <w:sz w:val="20"/>
                <w:szCs w:val="20"/>
              </w:rPr>
              <w:t xml:space="preserve">Descrição </w:t>
            </w:r>
          </w:p>
        </w:tc>
        <w:tc>
          <w:tcPr>
            <w:tcW w:w="4530" w:type="dxa"/>
            <w:tcBorders/>
            <w:shd w:color="auto" w:fill="E7E6E6" w:themeFill="background2" w:val="clear"/>
            <w:vAlign w:val="center"/>
          </w:tcPr>
          <w:p>
            <w:pPr>
              <w:pStyle w:val="ListParagraph"/>
              <w:ind w:hanging="0"/>
              <w:jc w:val="center"/>
              <w:rPr>
                <w:b/>
                <w:b/>
                <w:bCs/>
                <w:color w:val="000000" w:themeColor="text1"/>
                <w:sz w:val="20"/>
                <w:szCs w:val="20"/>
              </w:rPr>
            </w:pPr>
            <w:r>
              <w:rPr>
                <w:b/>
                <w:bCs/>
                <w:color w:val="000000" w:themeColor="text1"/>
                <w:sz w:val="20"/>
                <w:szCs w:val="20"/>
              </w:rPr>
              <w:t>Total</w:t>
            </w:r>
          </w:p>
        </w:tc>
      </w:tr>
      <w:tr>
        <w:trPr>
          <w:trHeight w:val="369" w:hRule="atLeast"/>
        </w:trPr>
        <w:tc>
          <w:tcPr>
            <w:tcW w:w="4530" w:type="dxa"/>
            <w:tcBorders/>
            <w:vAlign w:val="center"/>
          </w:tcPr>
          <w:p>
            <w:pPr>
              <w:pStyle w:val="ListParagraph"/>
              <w:ind w:hanging="0"/>
              <w:jc w:val="center"/>
              <w:rPr>
                <w:sz w:val="20"/>
                <w:szCs w:val="20"/>
              </w:rPr>
            </w:pPr>
            <w:r>
              <w:rPr>
                <w:sz w:val="20"/>
                <w:szCs w:val="20"/>
              </w:rPr>
              <w:t>Total de itens conformes</w:t>
            </w:r>
          </w:p>
        </w:tc>
        <w:tc>
          <w:tcPr>
            <w:tcW w:w="4530" w:type="dxa"/>
            <w:tcBorders/>
            <w:vAlign w:val="center"/>
          </w:tcPr>
          <w:p>
            <w:pPr>
              <w:pStyle w:val="ListParagraph"/>
              <w:ind w:hanging="0"/>
              <w:jc w:val="center"/>
              <w:rPr>
                <w:sz w:val="20"/>
                <w:szCs w:val="20"/>
              </w:rPr>
            </w:pPr>
            <w:r>
              <w:rPr>
                <w:sz w:val="20"/>
                <w:szCs w:val="20"/>
              </w:rPr>
              <w:t>27</w:t>
            </w:r>
          </w:p>
        </w:tc>
      </w:tr>
      <w:tr>
        <w:trPr>
          <w:trHeight w:val="369" w:hRule="atLeast"/>
        </w:trPr>
        <w:tc>
          <w:tcPr>
            <w:tcW w:w="4530" w:type="dxa"/>
            <w:tcBorders/>
            <w:vAlign w:val="center"/>
          </w:tcPr>
          <w:p>
            <w:pPr>
              <w:pStyle w:val="ListParagraph"/>
              <w:ind w:hanging="0"/>
              <w:jc w:val="center"/>
              <w:rPr>
                <w:sz w:val="20"/>
                <w:szCs w:val="20"/>
              </w:rPr>
            </w:pPr>
            <w:r>
              <w:rPr>
                <w:sz w:val="20"/>
                <w:szCs w:val="20"/>
              </w:rPr>
              <w:t>Total de itens não conformes</w:t>
            </w:r>
          </w:p>
        </w:tc>
        <w:tc>
          <w:tcPr>
            <w:tcW w:w="4530" w:type="dxa"/>
            <w:tcBorders/>
            <w:vAlign w:val="center"/>
          </w:tcPr>
          <w:p>
            <w:pPr>
              <w:pStyle w:val="ListParagraph"/>
              <w:ind w:hanging="0"/>
              <w:jc w:val="center"/>
              <w:rPr>
                <w:sz w:val="20"/>
                <w:szCs w:val="20"/>
              </w:rPr>
            </w:pPr>
            <w:r>
              <w:rPr>
                <w:sz w:val="20"/>
                <w:szCs w:val="20"/>
              </w:rPr>
              <w:t>6</w:t>
            </w:r>
          </w:p>
        </w:tc>
      </w:tr>
      <w:tr>
        <w:trPr>
          <w:trHeight w:val="369" w:hRule="atLeast"/>
        </w:trPr>
        <w:tc>
          <w:tcPr>
            <w:tcW w:w="4530" w:type="dxa"/>
            <w:tcBorders/>
            <w:vAlign w:val="center"/>
          </w:tcPr>
          <w:p>
            <w:pPr>
              <w:pStyle w:val="ListParagraph"/>
              <w:ind w:hanging="0"/>
              <w:jc w:val="center"/>
              <w:rPr>
                <w:sz w:val="20"/>
                <w:szCs w:val="20"/>
              </w:rPr>
            </w:pPr>
            <w:r>
              <w:rPr>
                <w:sz w:val="20"/>
                <w:szCs w:val="20"/>
              </w:rPr>
              <w:t>Total de itens parciais</w:t>
            </w:r>
          </w:p>
        </w:tc>
        <w:tc>
          <w:tcPr>
            <w:tcW w:w="4530" w:type="dxa"/>
            <w:tcBorders/>
            <w:vAlign w:val="center"/>
          </w:tcPr>
          <w:p>
            <w:pPr>
              <w:pStyle w:val="ListParagraph"/>
              <w:ind w:hanging="0"/>
              <w:jc w:val="center"/>
              <w:rPr>
                <w:sz w:val="20"/>
                <w:szCs w:val="20"/>
              </w:rPr>
            </w:pPr>
            <w:r>
              <w:rPr>
                <w:sz w:val="20"/>
                <w:szCs w:val="20"/>
              </w:rPr>
              <w:t>1</w:t>
            </w:r>
          </w:p>
        </w:tc>
      </w:tr>
      <w:tr>
        <w:trPr>
          <w:trHeight w:val="369" w:hRule="atLeast"/>
        </w:trPr>
        <w:tc>
          <w:tcPr>
            <w:tcW w:w="4530" w:type="dxa"/>
            <w:tcBorders/>
            <w:vAlign w:val="center"/>
          </w:tcPr>
          <w:p>
            <w:pPr>
              <w:pStyle w:val="ListParagraph"/>
              <w:ind w:hanging="0"/>
              <w:jc w:val="center"/>
              <w:rPr>
                <w:sz w:val="20"/>
                <w:szCs w:val="20"/>
              </w:rPr>
            </w:pPr>
            <w:r>
              <w:rPr>
                <w:sz w:val="20"/>
                <w:szCs w:val="20"/>
              </w:rPr>
              <w:t xml:space="preserve">Total de itens não avaliados </w:t>
            </w:r>
          </w:p>
        </w:tc>
        <w:tc>
          <w:tcPr>
            <w:tcW w:w="4530" w:type="dxa"/>
            <w:tcBorders/>
            <w:vAlign w:val="center"/>
          </w:tcPr>
          <w:p>
            <w:pPr>
              <w:pStyle w:val="ListParagraph"/>
              <w:ind w:hanging="0"/>
              <w:jc w:val="center"/>
              <w:rPr>
                <w:sz w:val="20"/>
                <w:szCs w:val="20"/>
              </w:rPr>
            </w:pPr>
            <w:r>
              <w:rPr>
                <w:sz w:val="20"/>
                <w:szCs w:val="20"/>
              </w:rPr>
              <w:t>5</w:t>
            </w:r>
          </w:p>
        </w:tc>
      </w:tr>
      <w:tr>
        <w:trPr>
          <w:trHeight w:val="369" w:hRule="atLeast"/>
        </w:trPr>
        <w:tc>
          <w:tcPr>
            <w:tcW w:w="4530" w:type="dxa"/>
            <w:tcBorders/>
            <w:vAlign w:val="center"/>
          </w:tcPr>
          <w:p>
            <w:pPr>
              <w:pStyle w:val="ListParagraph"/>
              <w:ind w:hanging="0"/>
              <w:jc w:val="center"/>
              <w:rPr>
                <w:rFonts w:cs="Arial"/>
                <w:color w:val="000000" w:themeColor="text1"/>
                <w:sz w:val="20"/>
                <w:szCs w:val="20"/>
              </w:rPr>
            </w:pPr>
            <w:r>
              <w:rPr>
                <w:rFonts w:cs="Arial"/>
                <w:color w:val="000000" w:themeColor="text1"/>
                <w:sz w:val="20"/>
                <w:szCs w:val="20"/>
              </w:rPr>
              <w:t>Total de itens constantes no checklist</w:t>
            </w:r>
          </w:p>
        </w:tc>
        <w:tc>
          <w:tcPr>
            <w:tcW w:w="4530" w:type="dxa"/>
            <w:tcBorders/>
            <w:vAlign w:val="center"/>
          </w:tcPr>
          <w:p>
            <w:pPr>
              <w:pStyle w:val="ListParagraph"/>
              <w:ind w:hanging="0"/>
              <w:jc w:val="center"/>
              <w:rPr>
                <w:rFonts w:cs="Arial"/>
                <w:color w:val="000000" w:themeColor="text1"/>
                <w:sz w:val="20"/>
                <w:szCs w:val="20"/>
              </w:rPr>
            </w:pPr>
            <w:r>
              <w:rPr>
                <w:rFonts w:cs="Arial"/>
                <w:color w:val="000000" w:themeColor="text1"/>
                <w:sz w:val="20"/>
                <w:szCs w:val="20"/>
              </w:rPr>
              <w:t>39</w:t>
            </w:r>
          </w:p>
        </w:tc>
      </w:tr>
    </w:tbl>
    <w:p>
      <w:pPr>
        <w:pStyle w:val="ListParagraph"/>
        <w:spacing w:before="120" w:after="0"/>
        <w:ind w:hanging="0"/>
        <w:contextualSpacing/>
        <w:jc w:val="center"/>
        <w:rPr>
          <w:rFonts w:cs="Arial"/>
          <w:color w:val="000000" w:themeColor="text1"/>
          <w:sz w:val="20"/>
          <w:szCs w:val="20"/>
        </w:rPr>
      </w:pPr>
      <w:r>
        <w:rPr>
          <w:rFonts w:cs="Arial"/>
          <w:color w:val="000000" w:themeColor="text1"/>
          <w:sz w:val="20"/>
          <w:szCs w:val="20"/>
        </w:rPr>
        <w:t>Fonte: Autor próprio (2023).</w:t>
      </w:r>
    </w:p>
    <w:p>
      <w:pPr>
        <w:pStyle w:val="ListParagraph"/>
        <w:spacing w:before="120" w:after="0"/>
        <w:ind w:hanging="0"/>
        <w:contextualSpacing/>
        <w:jc w:val="center"/>
        <w:rPr>
          <w:rFonts w:cs="Arial"/>
          <w:color w:val="000000" w:themeColor="text1"/>
          <w:sz w:val="20"/>
          <w:szCs w:val="20"/>
        </w:rPr>
      </w:pPr>
      <w:r>
        <w:rPr>
          <w:rFonts w:cs="Arial"/>
          <w:color w:val="000000" w:themeColor="text1"/>
          <w:sz w:val="20"/>
          <w:szCs w:val="20"/>
        </w:rPr>
      </w:r>
    </w:p>
    <w:p>
      <w:pPr>
        <w:pStyle w:val="ListParagraph"/>
        <w:rPr/>
      </w:pPr>
      <w:r>
        <w:rPr/>
        <w:t xml:space="preserve">Utilizando-se a Equação 1, Equação 2 e Equação 3, juntamente com os dados totais apresentados no </w:t>
      </w:r>
      <w:r>
        <w:rPr/>
        <w:fldChar w:fldCharType="begin"/>
      </w:r>
      <w:r>
        <w:rPr/>
        <w:instrText> REF _Ref149420470 \h </w:instrText>
      </w:r>
      <w:r>
        <w:rPr/>
        <w:fldChar w:fldCharType="separate"/>
      </w:r>
      <w:r>
        <w:rPr/>
        <w:t>Quadro 10</w:t>
      </w:r>
      <w:r>
        <w:rPr/>
        <w:fldChar w:fldCharType="end"/>
      </w:r>
      <w:r>
        <w:rPr/>
        <w:t xml:space="preserve">, é possível determinar a proporção de cada item em relação ao número total de itens avaliados, conforme ilustrado no </w:t>
      </w:r>
      <w:r>
        <w:rPr/>
        <w:fldChar w:fldCharType="begin"/>
      </w:r>
      <w:r>
        <w:rPr/>
        <w:instrText> REF _Ref149420716 \h </w:instrText>
      </w:r>
      <w:r>
        <w:rPr/>
        <w:fldChar w:fldCharType="separate"/>
      </w:r>
      <w:r>
        <w:rPr/>
        <w:t>Quadro 11</w:t>
      </w:r>
      <w:r>
        <w:rPr/>
        <w:fldChar w:fldCharType="end"/>
      </w:r>
      <w:r>
        <w:rPr/>
        <w:t>.</w:t>
      </w:r>
    </w:p>
    <w:p>
      <w:pPr>
        <w:pStyle w:val="Normal"/>
        <w:rPr/>
      </w:pPr>
      <w:r>
        <w:rPr/>
      </w:r>
    </w:p>
    <w:p>
      <w:pPr>
        <w:pStyle w:val="EstiloLegenda"/>
        <w:rPr/>
      </w:pPr>
      <w:r>
        <w:rPr/>
      </w:r>
    </w:p>
    <w:p>
      <w:pPr>
        <w:pStyle w:val="EstiloLegenda"/>
        <w:rPr/>
      </w:pPr>
      <w:bookmarkStart w:id="318" w:name="_Toc153384334"/>
      <w:bookmarkStart w:id="319" w:name="_Ref149420716"/>
      <w:r>
        <w:rPr/>
        <w:t xml:space="preserve">Quadro </w:t>
      </w:r>
      <w:r>
        <w:rPr/>
        <w:fldChar w:fldCharType="begin"/>
      </w:r>
      <w:r>
        <w:rPr/>
        <w:instrText> SEQ Quadro \* ARABIC </w:instrText>
      </w:r>
      <w:r>
        <w:rPr/>
        <w:fldChar w:fldCharType="separate"/>
      </w:r>
      <w:r>
        <w:rPr/>
        <w:t>11</w:t>
      </w:r>
      <w:r>
        <w:rPr/>
        <w:fldChar w:fldCharType="end"/>
      </w:r>
      <w:bookmarkEnd w:id="319"/>
      <w:r>
        <w:rPr/>
        <w:t xml:space="preserve"> - Proporcionalidade dos itens - Obra E.</w:t>
      </w:r>
      <w:bookmarkEnd w:id="318"/>
    </w:p>
    <w:tbl>
      <w:tblPr>
        <w:tblStyle w:val="Tabelacomgrade"/>
        <w:tblW w:w="9061" w:type="dxa"/>
        <w:jc w:val="left"/>
        <w:tblInd w:w="0" w:type="dxa"/>
        <w:tblCellMar>
          <w:top w:w="0" w:type="dxa"/>
          <w:left w:w="108" w:type="dxa"/>
          <w:bottom w:w="0" w:type="dxa"/>
          <w:right w:w="108" w:type="dxa"/>
        </w:tblCellMar>
        <w:tblLook w:firstRow="1" w:noVBand="1" w:lastRow="0" w:firstColumn="1" w:lastColumn="0" w:noHBand="0" w:val="04a0"/>
      </w:tblPr>
      <w:tblGrid>
        <w:gridCol w:w="4530"/>
        <w:gridCol w:w="4530"/>
      </w:tblGrid>
      <w:tr>
        <w:trPr>
          <w:trHeight w:val="369" w:hRule="atLeast"/>
        </w:trPr>
        <w:tc>
          <w:tcPr>
            <w:tcW w:w="4530" w:type="dxa"/>
            <w:tcBorders/>
            <w:shd w:color="auto" w:fill="E7E6E6" w:themeFill="background2" w:val="clear"/>
            <w:vAlign w:val="center"/>
          </w:tcPr>
          <w:p>
            <w:pPr>
              <w:pStyle w:val="ListParagraph"/>
              <w:ind w:hanging="0"/>
              <w:jc w:val="center"/>
              <w:rPr>
                <w:b/>
                <w:b/>
                <w:bCs/>
                <w:color w:val="000000" w:themeColor="text1"/>
                <w:sz w:val="20"/>
                <w:szCs w:val="20"/>
              </w:rPr>
            </w:pPr>
            <w:r>
              <w:rPr>
                <w:b/>
                <w:bCs/>
                <w:color w:val="000000" w:themeColor="text1"/>
                <w:sz w:val="20"/>
                <w:szCs w:val="20"/>
              </w:rPr>
              <w:t xml:space="preserve">Descrição </w:t>
            </w:r>
          </w:p>
        </w:tc>
        <w:tc>
          <w:tcPr>
            <w:tcW w:w="4530" w:type="dxa"/>
            <w:tcBorders/>
            <w:shd w:color="auto" w:fill="E7E6E6" w:themeFill="background2" w:val="clear"/>
            <w:vAlign w:val="center"/>
          </w:tcPr>
          <w:p>
            <w:pPr>
              <w:pStyle w:val="ListParagraph"/>
              <w:ind w:hanging="0"/>
              <w:jc w:val="center"/>
              <w:rPr>
                <w:b/>
                <w:b/>
                <w:bCs/>
                <w:color w:val="000000" w:themeColor="text1"/>
                <w:sz w:val="20"/>
                <w:szCs w:val="20"/>
              </w:rPr>
            </w:pPr>
            <w:r>
              <w:rPr>
                <w:b/>
                <w:bCs/>
                <w:color w:val="000000" w:themeColor="text1"/>
                <w:sz w:val="20"/>
                <w:szCs w:val="20"/>
              </w:rPr>
              <w:t>Proporcionalidade (%)</w:t>
            </w:r>
          </w:p>
        </w:tc>
      </w:tr>
      <w:tr>
        <w:trPr>
          <w:trHeight w:val="369" w:hRule="atLeast"/>
        </w:trPr>
        <w:tc>
          <w:tcPr>
            <w:tcW w:w="4530" w:type="dxa"/>
            <w:tcBorders/>
            <w:vAlign w:val="center"/>
          </w:tcPr>
          <w:p>
            <w:pPr>
              <w:pStyle w:val="ListParagraph"/>
              <w:ind w:hanging="0"/>
              <w:jc w:val="center"/>
              <w:rPr>
                <w:sz w:val="20"/>
                <w:szCs w:val="20"/>
              </w:rPr>
            </w:pPr>
            <w:r>
              <w:rPr>
                <w:sz w:val="20"/>
                <w:szCs w:val="20"/>
              </w:rPr>
              <w:t>Itens conformes</w:t>
            </w:r>
          </w:p>
        </w:tc>
        <w:tc>
          <w:tcPr>
            <w:tcW w:w="4530" w:type="dxa"/>
            <w:tcBorders/>
            <w:vAlign w:val="center"/>
          </w:tcPr>
          <w:p>
            <w:pPr>
              <w:pStyle w:val="ListParagraph"/>
              <w:ind w:hanging="0"/>
              <w:jc w:val="center"/>
              <w:rPr>
                <w:sz w:val="20"/>
                <w:szCs w:val="20"/>
              </w:rPr>
            </w:pPr>
            <w:r>
              <w:rPr>
                <w:sz w:val="20"/>
                <w:szCs w:val="20"/>
              </w:rPr>
              <w:t>79%</w:t>
            </w:r>
          </w:p>
        </w:tc>
      </w:tr>
      <w:tr>
        <w:trPr>
          <w:trHeight w:val="369" w:hRule="atLeast"/>
        </w:trPr>
        <w:tc>
          <w:tcPr>
            <w:tcW w:w="4530" w:type="dxa"/>
            <w:tcBorders/>
            <w:vAlign w:val="center"/>
          </w:tcPr>
          <w:p>
            <w:pPr>
              <w:pStyle w:val="ListParagraph"/>
              <w:ind w:hanging="0"/>
              <w:jc w:val="center"/>
              <w:rPr>
                <w:sz w:val="20"/>
                <w:szCs w:val="20"/>
              </w:rPr>
            </w:pPr>
            <w:r>
              <w:rPr>
                <w:sz w:val="20"/>
                <w:szCs w:val="20"/>
              </w:rPr>
              <w:t>Itens não conformes</w:t>
            </w:r>
          </w:p>
        </w:tc>
        <w:tc>
          <w:tcPr>
            <w:tcW w:w="4530" w:type="dxa"/>
            <w:tcBorders/>
            <w:vAlign w:val="center"/>
          </w:tcPr>
          <w:p>
            <w:pPr>
              <w:pStyle w:val="ListParagraph"/>
              <w:ind w:hanging="0"/>
              <w:jc w:val="center"/>
              <w:rPr>
                <w:sz w:val="20"/>
                <w:szCs w:val="20"/>
              </w:rPr>
            </w:pPr>
            <w:r>
              <w:rPr>
                <w:sz w:val="20"/>
                <w:szCs w:val="20"/>
              </w:rPr>
              <w:t>18%</w:t>
            </w:r>
          </w:p>
        </w:tc>
      </w:tr>
      <w:tr>
        <w:trPr>
          <w:trHeight w:val="369" w:hRule="atLeast"/>
        </w:trPr>
        <w:tc>
          <w:tcPr>
            <w:tcW w:w="4530" w:type="dxa"/>
            <w:tcBorders/>
            <w:vAlign w:val="center"/>
          </w:tcPr>
          <w:p>
            <w:pPr>
              <w:pStyle w:val="ListParagraph"/>
              <w:ind w:hanging="0"/>
              <w:jc w:val="center"/>
              <w:rPr>
                <w:sz w:val="20"/>
                <w:szCs w:val="20"/>
              </w:rPr>
            </w:pPr>
            <w:r>
              <w:rPr>
                <w:sz w:val="20"/>
                <w:szCs w:val="20"/>
              </w:rPr>
              <w:t>Itens parciais</w:t>
            </w:r>
          </w:p>
        </w:tc>
        <w:tc>
          <w:tcPr>
            <w:tcW w:w="4530" w:type="dxa"/>
            <w:tcBorders/>
            <w:vAlign w:val="center"/>
          </w:tcPr>
          <w:p>
            <w:pPr>
              <w:pStyle w:val="ListParagraph"/>
              <w:ind w:hanging="0"/>
              <w:jc w:val="center"/>
              <w:rPr>
                <w:sz w:val="20"/>
                <w:szCs w:val="20"/>
              </w:rPr>
            </w:pPr>
            <w:r>
              <w:rPr>
                <w:sz w:val="20"/>
                <w:szCs w:val="20"/>
              </w:rPr>
              <w:t>3%</w:t>
            </w:r>
          </w:p>
        </w:tc>
      </w:tr>
    </w:tbl>
    <w:p>
      <w:pPr>
        <w:pStyle w:val="ListParagraph"/>
        <w:spacing w:before="120" w:after="0"/>
        <w:ind w:hanging="0"/>
        <w:contextualSpacing/>
        <w:jc w:val="center"/>
        <w:rPr>
          <w:rFonts w:cs="Arial"/>
          <w:color w:val="000000" w:themeColor="text1"/>
          <w:sz w:val="20"/>
          <w:szCs w:val="20"/>
        </w:rPr>
      </w:pPr>
      <w:r>
        <w:rPr>
          <w:rFonts w:cs="Arial"/>
          <w:color w:val="000000" w:themeColor="text1"/>
          <w:sz w:val="20"/>
          <w:szCs w:val="20"/>
        </w:rPr>
        <w:t>Fonte: Autor próprio (2023).</w:t>
      </w:r>
    </w:p>
    <w:p>
      <w:pPr>
        <w:pStyle w:val="ListParagraph"/>
        <w:spacing w:before="120" w:after="0"/>
        <w:ind w:hanging="0"/>
        <w:contextualSpacing/>
        <w:jc w:val="center"/>
        <w:rPr>
          <w:rFonts w:cs="Arial"/>
          <w:color w:val="000000" w:themeColor="text1"/>
          <w:sz w:val="20"/>
          <w:szCs w:val="20"/>
        </w:rPr>
      </w:pPr>
      <w:r>
        <w:rPr>
          <w:rFonts w:cs="Arial"/>
          <w:color w:val="000000" w:themeColor="text1"/>
          <w:sz w:val="20"/>
          <w:szCs w:val="20"/>
        </w:rPr>
      </w:r>
    </w:p>
    <w:p>
      <w:pPr>
        <w:pStyle w:val="ListParagraph"/>
        <w:rPr/>
      </w:pPr>
      <w:r>
        <w:rPr/>
        <w:t xml:space="preserve">Na </w:t>
      </w:r>
      <w:r>
        <w:rPr/>
        <w:fldChar w:fldCharType="begin"/>
      </w:r>
      <w:r>
        <w:rPr/>
        <w:instrText> REF _Ref149420749 \h </w:instrText>
      </w:r>
      <w:r>
        <w:rPr/>
        <w:fldChar w:fldCharType="separate"/>
      </w:r>
      <w:r>
        <w:rPr/>
        <w:t>Figura 102</w:t>
      </w:r>
      <w:r>
        <w:rPr/>
        <w:fldChar w:fldCharType="end"/>
      </w:r>
      <w:r>
        <w:rPr/>
        <w:t xml:space="preserve">, mostra-se uma representação gráfica dos itens avaliados no canteiro de obras, relativos à Obra E. é relevante observar que a Obra E apresentou uma taxa de não conformidades de 18% em relação aos itens avaliados. </w:t>
      </w:r>
    </w:p>
    <w:p>
      <w:pPr>
        <w:pStyle w:val="Normal"/>
        <w:rPr/>
      </w:pPr>
      <w:r>
        <w:rPr/>
      </w:r>
    </w:p>
    <w:p>
      <w:pPr>
        <w:pStyle w:val="EstiloLegenda"/>
        <w:rPr/>
      </w:pPr>
      <w:bookmarkStart w:id="320" w:name="_Toc153611385"/>
      <w:bookmarkStart w:id="321" w:name="_Ref149420746"/>
      <w:bookmarkStart w:id="322" w:name="_Ref149420749"/>
      <w:r>
        <w:rPr/>
        <w:t xml:space="preserve">Figura </w:t>
      </w:r>
      <w:r>
        <w:rPr/>
        <w:fldChar w:fldCharType="begin"/>
      </w:r>
      <w:r>
        <w:rPr/>
        <w:instrText> SEQ Figura \* ARABIC </w:instrText>
      </w:r>
      <w:r>
        <w:rPr/>
        <w:fldChar w:fldCharType="separate"/>
      </w:r>
      <w:r>
        <w:rPr/>
        <w:t>102</w:t>
      </w:r>
      <w:r>
        <w:rPr/>
        <w:fldChar w:fldCharType="end"/>
      </w:r>
      <w:bookmarkEnd w:id="322"/>
      <w:r>
        <w:rPr/>
        <w:t xml:space="preserve"> - Relação dos itens avaliados - Obra E.</w:t>
      </w:r>
      <w:bookmarkEnd w:id="320"/>
      <w:bookmarkEnd w:id="321"/>
    </w:p>
    <w:p>
      <w:pPr>
        <w:pStyle w:val="Normal"/>
        <w:jc w:val="center"/>
        <w:rPr/>
      </w:pPr>
      <w:r>
        <w:rPr/>
        <w:drawing>
          <wp:inline distT="0" distB="0" distL="0" distR="0">
            <wp:extent cx="5050790" cy="3035935"/>
            <wp:effectExtent l="0" t="0" r="0" b="0"/>
            <wp:docPr id="113" name="Imagem 157511849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Imagem 1575118499" descr=""/>
                    <pic:cNvPicPr>
                      <a:picLocks noChangeAspect="1" noChangeArrowheads="1"/>
                    </pic:cNvPicPr>
                  </pic:nvPicPr>
                  <pic:blipFill>
                    <a:blip r:embed="rId114"/>
                    <a:stretch>
                      <a:fillRect/>
                    </a:stretch>
                  </pic:blipFill>
                  <pic:spPr bwMode="auto">
                    <a:xfrm>
                      <a:off x="0" y="0"/>
                      <a:ext cx="5050790" cy="3035935"/>
                    </a:xfrm>
                    <a:prstGeom prst="rect">
                      <a:avLst/>
                    </a:prstGeom>
                  </pic:spPr>
                </pic:pic>
              </a:graphicData>
            </a:graphic>
          </wp:inline>
        </w:drawing>
      </w:r>
    </w:p>
    <w:p>
      <w:pPr>
        <w:pStyle w:val="ListParagraph"/>
        <w:spacing w:before="120" w:after="0"/>
        <w:ind w:hanging="0"/>
        <w:contextualSpacing/>
        <w:jc w:val="center"/>
        <w:rPr>
          <w:rFonts w:cs="Arial"/>
          <w:color w:val="000000" w:themeColor="text1"/>
          <w:sz w:val="20"/>
          <w:szCs w:val="20"/>
        </w:rPr>
      </w:pPr>
      <w:r>
        <w:rPr>
          <w:rFonts w:cs="Arial"/>
          <w:color w:val="000000" w:themeColor="text1"/>
          <w:sz w:val="20"/>
          <w:szCs w:val="20"/>
        </w:rPr>
        <w:t>Fonte: Autor próprio (2023).</w:t>
      </w:r>
    </w:p>
    <w:p>
      <w:pPr>
        <w:pStyle w:val="ListParagraph"/>
        <w:spacing w:before="120" w:after="0"/>
        <w:ind w:hanging="0"/>
        <w:contextualSpacing/>
        <w:jc w:val="center"/>
        <w:rPr>
          <w:rFonts w:cs="Arial"/>
          <w:color w:val="000000" w:themeColor="text1"/>
          <w:sz w:val="20"/>
          <w:szCs w:val="20"/>
        </w:rPr>
      </w:pPr>
      <w:r>
        <w:rPr>
          <w:rFonts w:cs="Arial"/>
          <w:color w:val="000000" w:themeColor="text1"/>
          <w:sz w:val="20"/>
          <w:szCs w:val="20"/>
        </w:rPr>
      </w:r>
    </w:p>
    <w:p>
      <w:pPr>
        <w:pStyle w:val="ListParagraph"/>
        <w:rPr/>
      </w:pPr>
      <w:r>
        <w:rPr/>
        <w:t xml:space="preserve"> </w:t>
      </w:r>
      <w:r>
        <w:rPr/>
        <w:t>Para aprimorar de maneira significativa a conformidade dos itens avaliados, é crucial considerar a implementação de ações de aprimoramento no canteiro de obras. É importante estabelecer sinalizações que alertem para os riscos presentes no local, uma vez que tais medidas desempenham um papel fundamental na prevenção de acidentes. Além disso, é importante identificar claramente os circuitos nos quadros de distribuição de energia.</w:t>
      </w:r>
    </w:p>
    <w:p>
      <w:pPr>
        <w:pStyle w:val="ListParagraph"/>
        <w:rPr/>
      </w:pPr>
      <w:r>
        <w:rPr/>
        <w:t>De igual importância, a proteção contra quedas é um aspecto crítico, devido às possíveis consequências graves de acidentes. Portanto, a instalação de guarda-corpos, sinalização e isolamento são ações que devem ser tomadas no início dos trabalhos nesses locais. Além disso, como mencionado anteriormente em relação à Obra D, manter o canteiro limpo e organizado é essencial para evitar acidentes causados por materiais fora de seus locais designados. Nesse sentido, a utilização de baias para a correta disposição dos materiais contribui para essa organização</w:t>
      </w:r>
    </w:p>
    <w:p>
      <w:pPr>
        <w:pStyle w:val="ListParagraph"/>
        <w:rPr/>
      </w:pPr>
      <w:r>
        <w:rPr/>
        <w:t xml:space="preserve">Nota-se que vários itens estão em conformidade em todos os canteiros, com destaque para o refeitório, banheiros e vestiários. Isso representa uma diferença em relação ao estudo de Oliveira </w:t>
      </w:r>
      <w:r>
        <w:rPr>
          <w:i/>
          <w:iCs/>
        </w:rPr>
        <w:t>et al</w:t>
      </w:r>
      <w:r>
        <w:rPr/>
        <w:t>. (2018), no qual foi constatado que em algumas das obras analisadas, o refeitório e vestiário não estavam em conformidade com a NR-18, devido à ausência de bancos nos vestiários e à falta de ventilação natural ou artificial no refeitório.</w:t>
      </w:r>
    </w:p>
    <w:p>
      <w:pPr>
        <w:pStyle w:val="ListParagraph"/>
        <w:rPr/>
      </w:pPr>
      <w:r>
        <w:rPr/>
        <w:t xml:space="preserve">Além disso, nas obras analisadas por Miranda </w:t>
      </w:r>
      <w:r>
        <w:rPr>
          <w:i/>
          <w:iCs/>
        </w:rPr>
        <w:t>et al.</w:t>
      </w:r>
      <w:r>
        <w:rPr/>
        <w:t xml:space="preserve"> (2022), nenhuma delas dispunha de projeto para as instalações elétricas provisórias que já estavam em operação. Isso se diferencia das obras analisadas neste trabalho, onde todas elas apresentam projetos elétricos para as instalações provisórias, acompanhados de laudos de inspeção realizados por profissionais habilitados.</w:t>
      </w:r>
    </w:p>
    <w:p>
      <w:pPr>
        <w:pStyle w:val="Ttulo1"/>
        <w:rPr/>
      </w:pPr>
      <w:r>
        <w:rPr/>
      </w:r>
    </w:p>
    <w:p>
      <w:pPr>
        <w:pStyle w:val="Ttulo2"/>
        <w:rPr/>
      </w:pPr>
      <w:bookmarkStart w:id="323" w:name="_Toc153611176"/>
      <w:r>
        <w:rPr/>
        <w:t>4.3 COMPARATIVO DO CUMPRIMENTO DA NR-18</w:t>
      </w:r>
      <w:bookmarkEnd w:id="323"/>
    </w:p>
    <w:p>
      <w:pPr>
        <w:pStyle w:val="ListParagraph"/>
        <w:rPr/>
      </w:pPr>
      <w:r>
        <w:rPr/>
        <w:t xml:space="preserve">Após realizadas todas as análises de cada obra visitada individualmente, foi verificado o grau de cumprimento da NR-18 nos canteiros de obras analisados. Na </w:t>
      </w:r>
      <w:r>
        <w:rPr/>
        <w:fldChar w:fldCharType="begin"/>
      </w:r>
      <w:r>
        <w:rPr/>
        <w:instrText> REF _Ref149501848 \h </w:instrText>
      </w:r>
      <w:r>
        <w:rPr/>
        <w:fldChar w:fldCharType="separate"/>
      </w:r>
      <w:r>
        <w:rPr/>
        <w:t>Figura 103</w:t>
      </w:r>
      <w:r>
        <w:rPr/>
        <w:fldChar w:fldCharType="end"/>
      </w:r>
      <w:r>
        <w:rPr/>
        <w:t xml:space="preserve"> é possível visualizar a porcentagem de itens conformes de todas as obras. </w:t>
      </w:r>
    </w:p>
    <w:p>
      <w:pPr>
        <w:pStyle w:val="ListParagraph"/>
        <w:rPr/>
      </w:pPr>
      <w:r>
        <w:rPr/>
        <w:t xml:space="preserve">Ao analisar a </w:t>
      </w:r>
      <w:r>
        <w:rPr/>
        <w:fldChar w:fldCharType="begin"/>
      </w:r>
      <w:r>
        <w:rPr/>
        <w:instrText> REF _Ref149501848 \h </w:instrText>
      </w:r>
      <w:r>
        <w:rPr/>
        <w:fldChar w:fldCharType="separate"/>
      </w:r>
      <w:r>
        <w:rPr/>
        <w:t>Figura 103</w:t>
      </w:r>
      <w:r>
        <w:rPr/>
        <w:fldChar w:fldCharType="end"/>
      </w:r>
      <w:r>
        <w:rPr/>
        <w:t xml:space="preserve">, verifica-se que a Obra B, a Obra C e a Obra D, apresentaram a mesma porcentagem em relação aos itens conforme, isto é, 89% de conformidade. Já a Obra A foi aquela que apresentou o pior resultado, com 76% dos itens conformes. </w:t>
      </w:r>
    </w:p>
    <w:p>
      <w:pPr>
        <w:pStyle w:val="Normal"/>
        <w:rPr/>
      </w:pPr>
      <w:r>
        <w:rPr/>
      </w:r>
    </w:p>
    <w:p>
      <w:pPr>
        <w:pStyle w:val="Normal"/>
        <w:rPr/>
      </w:pPr>
      <w:r>
        <w:rPr/>
      </w:r>
    </w:p>
    <w:p>
      <w:pPr>
        <w:pStyle w:val="Normal"/>
        <w:rPr/>
      </w:pPr>
      <w:r>
        <w:rPr/>
      </w:r>
    </w:p>
    <w:p>
      <w:pPr>
        <w:pStyle w:val="Normal"/>
        <w:rPr/>
      </w:pPr>
      <w:r>
        <w:rPr/>
      </w:r>
    </w:p>
    <w:p>
      <w:pPr>
        <w:pStyle w:val="EstiloLegenda"/>
        <w:rPr/>
      </w:pPr>
      <w:bookmarkStart w:id="324" w:name="_Toc153611386"/>
      <w:bookmarkStart w:id="325" w:name="_Ref149501848"/>
      <w:r>
        <w:rPr/>
        <w:t xml:space="preserve">Figura </w:t>
      </w:r>
      <w:r>
        <w:rPr/>
        <w:fldChar w:fldCharType="begin"/>
      </w:r>
      <w:r>
        <w:rPr/>
        <w:instrText> SEQ Figura \* ARABIC </w:instrText>
      </w:r>
      <w:r>
        <w:rPr/>
        <w:fldChar w:fldCharType="separate"/>
      </w:r>
      <w:r>
        <w:rPr/>
        <w:t>103</w:t>
      </w:r>
      <w:r>
        <w:rPr/>
        <w:fldChar w:fldCharType="end"/>
      </w:r>
      <w:bookmarkEnd w:id="325"/>
      <w:r>
        <w:rPr/>
        <w:t xml:space="preserve"> - Porcentagem de itens conformes.</w:t>
      </w:r>
      <w:bookmarkEnd w:id="324"/>
    </w:p>
    <w:p>
      <w:pPr>
        <w:pStyle w:val="ListParagraph"/>
        <w:rPr/>
      </w:pPr>
      <w:r>
        <w:rPr/>
        <w:drawing>
          <wp:inline distT="0" distB="0" distL="0" distR="0">
            <wp:extent cx="5050790" cy="3035935"/>
            <wp:effectExtent l="0" t="0" r="0" b="0"/>
            <wp:docPr id="114" name="Imagem 19388491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Imagem 1938849110" descr=""/>
                    <pic:cNvPicPr>
                      <a:picLocks noChangeAspect="1" noChangeArrowheads="1"/>
                    </pic:cNvPicPr>
                  </pic:nvPicPr>
                  <pic:blipFill>
                    <a:blip r:embed="rId115"/>
                    <a:stretch>
                      <a:fillRect/>
                    </a:stretch>
                  </pic:blipFill>
                  <pic:spPr bwMode="auto">
                    <a:xfrm>
                      <a:off x="0" y="0"/>
                      <a:ext cx="5050790" cy="3035935"/>
                    </a:xfrm>
                    <a:prstGeom prst="rect">
                      <a:avLst/>
                    </a:prstGeom>
                  </pic:spPr>
                </pic:pic>
              </a:graphicData>
            </a:graphic>
          </wp:inline>
        </w:drawing>
      </w:r>
    </w:p>
    <w:p>
      <w:pPr>
        <w:pStyle w:val="ListParagraph"/>
        <w:spacing w:before="120" w:after="0"/>
        <w:ind w:hanging="0"/>
        <w:contextualSpacing/>
        <w:jc w:val="center"/>
        <w:rPr>
          <w:rFonts w:cs="Arial"/>
          <w:color w:val="000000" w:themeColor="text1"/>
          <w:sz w:val="20"/>
          <w:szCs w:val="20"/>
        </w:rPr>
      </w:pPr>
      <w:r>
        <w:rPr>
          <w:rFonts w:cs="Arial"/>
          <w:color w:val="000000" w:themeColor="text1"/>
          <w:sz w:val="20"/>
          <w:szCs w:val="20"/>
        </w:rPr>
        <w:t>Fonte: Autor próprio (2023).</w:t>
      </w:r>
    </w:p>
    <w:p>
      <w:pPr>
        <w:pStyle w:val="ListParagraph"/>
        <w:spacing w:before="120" w:after="0"/>
        <w:ind w:hanging="0"/>
        <w:contextualSpacing/>
        <w:jc w:val="center"/>
        <w:rPr>
          <w:rFonts w:cs="Arial"/>
          <w:color w:val="000000" w:themeColor="text1"/>
          <w:sz w:val="20"/>
          <w:szCs w:val="20"/>
        </w:rPr>
      </w:pPr>
      <w:r>
        <w:rPr>
          <w:rFonts w:cs="Arial"/>
          <w:color w:val="000000" w:themeColor="text1"/>
          <w:sz w:val="20"/>
          <w:szCs w:val="20"/>
        </w:rPr>
      </w:r>
    </w:p>
    <w:p>
      <w:pPr>
        <w:pStyle w:val="ListParagraph"/>
        <w:rPr/>
      </w:pPr>
      <w:r>
        <w:rPr/>
        <w:t xml:space="preserve">Além disso, foi possível verificar a porcentagem de itens não conformes, com base nos resultados correspondentes aos itens conformes na Obra A, Obra B, Obra C, Obra D e Obra E. A </w:t>
      </w:r>
      <w:r>
        <w:rPr/>
        <w:fldChar w:fldCharType="begin"/>
      </w:r>
      <w:r>
        <w:rPr/>
        <w:instrText> REF _Ref149849606 \h </w:instrText>
      </w:r>
      <w:r>
        <w:rPr/>
        <w:fldChar w:fldCharType="separate"/>
      </w:r>
      <w:r>
        <w:rPr/>
        <w:t>Figura 104</w:t>
      </w:r>
      <w:r>
        <w:rPr/>
        <w:fldChar w:fldCharType="end"/>
      </w:r>
      <w:r>
        <w:rPr/>
        <w:t xml:space="preserve"> apresenta o panorama das porcentagens de itens não conformes nas obras analisadas.</w:t>
      </w:r>
    </w:p>
    <w:p>
      <w:pPr>
        <w:pStyle w:val="EstiloLegenda"/>
        <w:rPr/>
      </w:pPr>
      <w:r>
        <w:rPr/>
      </w:r>
    </w:p>
    <w:p>
      <w:pPr>
        <w:pStyle w:val="EstiloLegenda"/>
        <w:rPr/>
      </w:pPr>
      <w:r>
        <w:rPr/>
      </w:r>
    </w:p>
    <w:p>
      <w:pPr>
        <w:pStyle w:val="EstiloLegenda"/>
        <w:rPr/>
      </w:pPr>
      <w:bookmarkStart w:id="326" w:name="_Toc153611387"/>
      <w:bookmarkStart w:id="327" w:name="_Ref149849606"/>
      <w:r>
        <w:rPr/>
        <w:t xml:space="preserve">Figura </w:t>
      </w:r>
      <w:r>
        <w:rPr/>
        <w:fldChar w:fldCharType="begin"/>
      </w:r>
      <w:r>
        <w:rPr/>
        <w:instrText> SEQ Figura \* ARABIC </w:instrText>
      </w:r>
      <w:r>
        <w:rPr/>
        <w:fldChar w:fldCharType="separate"/>
      </w:r>
      <w:r>
        <w:rPr/>
        <w:t>104</w:t>
      </w:r>
      <w:r>
        <w:rPr/>
        <w:fldChar w:fldCharType="end"/>
      </w:r>
      <w:bookmarkEnd w:id="327"/>
      <w:r>
        <w:rPr/>
        <w:t xml:space="preserve"> - Porcentagem de itens conformes.</w:t>
      </w:r>
      <w:bookmarkEnd w:id="326"/>
    </w:p>
    <w:p>
      <w:pPr>
        <w:pStyle w:val="ListParagraph"/>
        <w:tabs>
          <w:tab w:val="clear" w:pos="708"/>
          <w:tab w:val="left" w:pos="8789" w:leader="none"/>
        </w:tabs>
        <w:ind w:hanging="0"/>
        <w:jc w:val="center"/>
        <w:rPr/>
      </w:pPr>
      <w:r>
        <w:rPr/>
        <w:drawing>
          <wp:inline distT="0" distB="0" distL="0" distR="0">
            <wp:extent cx="5050790" cy="3035935"/>
            <wp:effectExtent l="0" t="0" r="0" b="0"/>
            <wp:docPr id="115" name="Imagem 35407515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Imagem 354075152" descr=""/>
                    <pic:cNvPicPr>
                      <a:picLocks noChangeAspect="1" noChangeArrowheads="1"/>
                    </pic:cNvPicPr>
                  </pic:nvPicPr>
                  <pic:blipFill>
                    <a:blip r:embed="rId116"/>
                    <a:stretch>
                      <a:fillRect/>
                    </a:stretch>
                  </pic:blipFill>
                  <pic:spPr bwMode="auto">
                    <a:xfrm>
                      <a:off x="0" y="0"/>
                      <a:ext cx="5050790" cy="3035935"/>
                    </a:xfrm>
                    <a:prstGeom prst="rect">
                      <a:avLst/>
                    </a:prstGeom>
                  </pic:spPr>
                </pic:pic>
              </a:graphicData>
            </a:graphic>
          </wp:inline>
        </w:drawing>
      </w:r>
    </w:p>
    <w:p>
      <w:pPr>
        <w:pStyle w:val="ListParagraph"/>
        <w:tabs>
          <w:tab w:val="clear" w:pos="708"/>
          <w:tab w:val="left" w:pos="8789" w:leader="none"/>
        </w:tabs>
        <w:ind w:hanging="0"/>
        <w:jc w:val="center"/>
        <w:rPr/>
      </w:pPr>
      <w:r>
        <w:rPr>
          <w:rFonts w:cs="Arial"/>
          <w:color w:val="000000" w:themeColor="text1"/>
          <w:sz w:val="20"/>
          <w:szCs w:val="20"/>
        </w:rPr>
        <w:t>Fonte: Autor próprio (2023).</w:t>
      </w:r>
    </w:p>
    <w:p>
      <w:pPr>
        <w:pStyle w:val="Normal"/>
        <w:rPr/>
      </w:pPr>
      <w:r>
        <w:rPr/>
      </w:r>
    </w:p>
    <w:p>
      <w:pPr>
        <w:pStyle w:val="ListParagraph"/>
        <w:rPr/>
      </w:pPr>
      <w:r>
        <w:rPr/>
        <w:t>Observa-se, portanto, que a Obra C registrou o menor índice de itens não conformes, com apenas 3%, enquanto a Obra A apresentou um índice significativamente mais elevado, atingindo 21% de itens não conformes.</w:t>
      </w:r>
    </w:p>
    <w:p>
      <w:pPr>
        <w:pStyle w:val="ListParagraph"/>
        <w:rPr/>
      </w:pPr>
      <w:r>
        <w:rPr/>
        <w:t xml:space="preserve">Consequentemente, com base nos dados da </w:t>
      </w:r>
      <w:r>
        <w:rPr/>
        <w:fldChar w:fldCharType="begin"/>
      </w:r>
      <w:r>
        <w:rPr/>
        <w:instrText> REF _Ref149501848 \h </w:instrText>
      </w:r>
      <w:r>
        <w:rPr/>
        <w:fldChar w:fldCharType="separate"/>
      </w:r>
      <w:r>
        <w:rPr/>
        <w:t>Figura 103</w:t>
      </w:r>
      <w:r>
        <w:rPr/>
        <w:fldChar w:fldCharType="end"/>
      </w:r>
      <w:r>
        <w:rPr/>
        <w:t xml:space="preserve"> e </w:t>
      </w:r>
      <w:r>
        <w:rPr/>
        <w:fldChar w:fldCharType="begin"/>
      </w:r>
      <w:r>
        <w:rPr/>
        <w:instrText> REF _Ref149849606 \h </w:instrText>
      </w:r>
      <w:r>
        <w:rPr/>
        <w:fldChar w:fldCharType="separate"/>
      </w:r>
      <w:r>
        <w:rPr/>
        <w:t>Figura 104</w:t>
      </w:r>
      <w:r>
        <w:rPr/>
        <w:fldChar w:fldCharType="end"/>
      </w:r>
      <w:r>
        <w:rPr/>
        <w:t>, torna-se evidente que a Obra A obteve os resultados menos favoráveis, ao passo que a Obra C demonstrou um desempenho superior, com resultados satisfatórios. É importante ressaltar, contudo, a importância de minimizar ao máximo o percentual de itens não conformes, uma vez que qualquer item fora das especificações pode representar um risco de acidente no local de trabalho e comprometer a segurança e a integridade dos trabalhadores.</w:t>
      </w:r>
    </w:p>
    <w:p>
      <w:pPr>
        <w:pStyle w:val="Normal"/>
        <w:spacing w:lineRule="auto" w:line="259" w:before="0" w:after="160"/>
        <w:jc w:val="left"/>
        <w:rPr>
          <w:rFonts w:eastAsia="" w:cs="" w:cstheme="majorBidi" w:eastAsiaTheme="majorEastAsia"/>
          <w:b/>
          <w:b/>
          <w:szCs w:val="32"/>
        </w:rPr>
      </w:pPr>
      <w:r>
        <w:rPr>
          <w:rFonts w:eastAsia="" w:cs="" w:cstheme="majorBidi" w:eastAsiaTheme="majorEastAsia"/>
          <w:b/>
          <w:szCs w:val="32"/>
        </w:rPr>
      </w:r>
      <w:r>
        <w:br w:type="page"/>
      </w:r>
    </w:p>
    <w:p>
      <w:pPr>
        <w:pStyle w:val="Ttulo1"/>
        <w:rPr/>
      </w:pPr>
      <w:bookmarkStart w:id="328" w:name="_Toc153611177"/>
      <w:r>
        <w:rPr/>
        <w:t>5 CONCLUSÃO</w:t>
      </w:r>
      <w:bookmarkEnd w:id="328"/>
    </w:p>
    <w:p>
      <w:pPr>
        <w:pStyle w:val="ListParagraph"/>
        <w:rPr/>
      </w:pPr>
      <w:r>
        <w:rPr/>
        <w:t>Após a análise da aplicação da NR-18 em cinco canteiros de obras na cidade de Goiânia/GO, todos em fase de fundação, foi possível realizar uma comparação direta dos resultados obtidos em cada canteiro. As análises revelaram um desempenho satisfatório, com três das cinco obras analisadas atingindo resultados de conformidade superiores a 85%, enquanto que duas obras apresentaram percentuais entre 76% e 79% dos itens conformes em relação a quantidade de itens avaliados.</w:t>
      </w:r>
    </w:p>
    <w:p>
      <w:pPr>
        <w:pStyle w:val="ListParagraph"/>
        <w:rPr/>
      </w:pPr>
      <w:r>
        <w:rPr/>
        <w:t>Adicionalmente, todas as obras atenderam adequadamente ao dimensionamento da área de vivência, contemplando refeitórios, banheiros e vestiários, sem que nenhuma irregularidade fosse identificada nesse aspecto.</w:t>
      </w:r>
    </w:p>
    <w:p>
      <w:pPr>
        <w:pStyle w:val="ListParagraph"/>
        <w:rPr/>
      </w:pPr>
      <w:r>
        <w:rPr/>
        <w:t>Observou-se, ainda, que todas as obras reconhecem a importância de seguir as diretrizes estabelecidas pela NR-18. Entretanto, identificaram-se desafios na efetiva implementação dessas diretrizes, principalmente relacionados à conscientização dos colaboradores acerca dos riscos a que estão expostos. Foram detectadas situações preocupantes, como a ausência de uso de Equipamentos de Proteção Individual (EPI) por parte de trabalhadores na Obra A, o uso de ferramentas manuais energizadas em locais inadequados na Obra A e Obra D, além da conexão de extensões elétricas diretamente ao solo, representando riscos em áreas de circulação de pessoas na Obra B.</w:t>
      </w:r>
    </w:p>
    <w:p>
      <w:pPr>
        <w:pStyle w:val="ListParagraph"/>
        <w:rPr/>
      </w:pPr>
      <w:r>
        <w:rPr/>
        <w:t>Ademais, outros aspectos analisados e identificados como não conformes envolvem a disposição inadequada de materiais em áreas de circulação frequentadas por trabalhadores, sendo este problema observado na Obra A, Obra D e Obra E. O quadro elétrico, por sua vez, também foi apontado como fonte de não conformidade, seja devido à falta de identificação de circuitos, à exposição de partes vivas ou à ausência de sinalização alertando para o risco de choque elétrico. Essas irregularidades foram constatadas na Obra B, Obra D e Obra E.</w:t>
      </w:r>
    </w:p>
    <w:p>
      <w:pPr>
        <w:pStyle w:val="ListParagraph"/>
        <w:rPr/>
      </w:pPr>
      <w:r>
        <w:rPr/>
        <w:t>Destaca-se, ainda, a não conformidade em relação às medidas de proteção contra quedas de altura. Verificou-se a ausência de manutenção adequada, falta de uniformidade e até mesmo a inexistência de dispositivos de proteção contra quedas em áreas específicas das Obra B, Obra C e Obra E.</w:t>
      </w:r>
    </w:p>
    <w:p>
      <w:pPr>
        <w:pStyle w:val="ListParagraph"/>
        <w:rPr/>
      </w:pPr>
      <w:r>
        <w:rPr/>
        <w:t xml:space="preserve">Outrossim, é relevante ressaltar que todas as cinco obras têm plena ciência da obrigatoriedade de adotar o Programa de Gerenciamento de Riscos (PGR). Além disso, todas mantêm seus respectivos PGR atualizados de acordo com a fase em que se encontram, tendo sido elaborados por profissionais legalmente habilitados e possuem seu acompanhamento por outros profissionais responsáveis da área, como engenheiro de segurança do trabalho e técnicos de segurança do trabalho. </w:t>
      </w:r>
    </w:p>
    <w:p>
      <w:pPr>
        <w:pStyle w:val="ListParagraph"/>
        <w:rPr/>
      </w:pPr>
      <w:r>
        <w:rPr/>
        <w:t>Portanto, percebe-se que a responsabilidade pela implementação segura no ambiente de trabalho recai sobre todos os envolvidos, visando prevenir incidentes. Essa abordagem é essencial para assegurar a integridade e a saúde física de cada colaborador, destacando a importância coletiva de priorizar a segurança no exercício das atividades laborais.</w:t>
      </w:r>
    </w:p>
    <w:p>
      <w:pPr>
        <w:pStyle w:val="ListParagraph"/>
        <w:rPr/>
      </w:pPr>
      <w:r>
        <w:rPr/>
        <w:t>Portanto, conclui-se que a preservação da saúde e segurança no ambiente de trabalho constitui um pilar fundamental para o bom funcionamento de qualquer setor profissional. No contexto da construção civil, um canteiro de obras pode estar submetido a inúmeros riscos, como, por exemplo, choque elétrico, quedas de altura, cortes em membros do corpo, dentre outros. Nesse cenário, as normas regulamentadoras desempenham um papel determinante ao fornecer diretrizes essenciais para assegurar a segurança das atividades laborais.</w:t>
      </w:r>
    </w:p>
    <w:p>
      <w:pPr>
        <w:pStyle w:val="ListParagraph"/>
        <w:rPr/>
      </w:pPr>
      <w:r>
        <w:rPr/>
      </w:r>
    </w:p>
    <w:p>
      <w:pPr>
        <w:pStyle w:val="ListParagraph"/>
        <w:rPr/>
      </w:pPr>
      <w:r>
        <w:rPr/>
      </w:r>
    </w:p>
    <w:p>
      <w:pPr>
        <w:pStyle w:val="ListParagraph"/>
        <w:rPr/>
      </w:pPr>
      <w:r>
        <w:rPr/>
      </w:r>
    </w:p>
    <w:p>
      <w:pPr>
        <w:pStyle w:val="ListParagraph"/>
        <w:rPr/>
      </w:pPr>
      <w:r>
        <w:rPr/>
      </w:r>
    </w:p>
    <w:p>
      <w:pPr>
        <w:pStyle w:val="ListParagraph"/>
        <w:rPr/>
      </w:pPr>
      <w:r>
        <w:rPr/>
      </w:r>
    </w:p>
    <w:p>
      <w:pPr>
        <w:pStyle w:val="ListParagraph"/>
        <w:rPr/>
      </w:pPr>
      <w:r>
        <w:rPr/>
      </w:r>
    </w:p>
    <w:p>
      <w:pPr>
        <w:pStyle w:val="ListParagraph"/>
        <w:rPr/>
      </w:pPr>
      <w:r>
        <w:rPr/>
      </w:r>
    </w:p>
    <w:p>
      <w:pPr>
        <w:pStyle w:val="ListParagraph"/>
        <w:rPr/>
      </w:pPr>
      <w:r>
        <w:rPr/>
      </w:r>
    </w:p>
    <w:p>
      <w:pPr>
        <w:pStyle w:val="ListParagraph"/>
        <w:rPr/>
      </w:pPr>
      <w:r>
        <w:rPr/>
      </w:r>
    </w:p>
    <w:p>
      <w:pPr>
        <w:pStyle w:val="ListParagraph"/>
        <w:rPr/>
      </w:pPr>
      <w:r>
        <w:rPr/>
      </w:r>
    </w:p>
    <w:p>
      <w:pPr>
        <w:pStyle w:val="ListParagraph"/>
        <w:rPr/>
      </w:pPr>
      <w:r>
        <w:rPr/>
      </w:r>
    </w:p>
    <w:p>
      <w:pPr>
        <w:pStyle w:val="ListParagraph"/>
        <w:rPr/>
      </w:pPr>
      <w:r>
        <w:rPr/>
      </w:r>
    </w:p>
    <w:p>
      <w:pPr>
        <w:pStyle w:val="ListParagraph"/>
        <w:rPr/>
      </w:pPr>
      <w:r>
        <w:rPr/>
      </w:r>
    </w:p>
    <w:p>
      <w:pPr>
        <w:pStyle w:val="ListParagraph"/>
        <w:rPr/>
      </w:pPr>
      <w:r>
        <w:rPr/>
      </w:r>
    </w:p>
    <w:p>
      <w:pPr>
        <w:pStyle w:val="ListParagraph"/>
        <w:rPr/>
      </w:pPr>
      <w:r>
        <w:rPr/>
      </w:r>
    </w:p>
    <w:p>
      <w:pPr>
        <w:pStyle w:val="ListParagraph"/>
        <w:rPr/>
      </w:pPr>
      <w:r>
        <w:rPr/>
      </w:r>
    </w:p>
    <w:p>
      <w:pPr>
        <w:pStyle w:val="ListParagraph"/>
        <w:rPr/>
      </w:pPr>
      <w:r>
        <w:rPr/>
      </w:r>
    </w:p>
    <w:p>
      <w:pPr>
        <w:pStyle w:val="ListParagraph"/>
        <w:rPr/>
      </w:pPr>
      <w:r>
        <w:rPr/>
      </w:r>
    </w:p>
    <w:p>
      <w:pPr>
        <w:pStyle w:val="ListParagraph"/>
        <w:rPr/>
      </w:pPr>
      <w:r>
        <w:rPr/>
      </w:r>
    </w:p>
    <w:p>
      <w:pPr>
        <w:pStyle w:val="Ttulo1"/>
        <w:rPr/>
      </w:pPr>
      <w:bookmarkStart w:id="329" w:name="_Toc153611178"/>
      <w:r>
        <w:rPr/>
        <w:t>6. SUGESTÃO PARA TRABALHOS FUTUROS</w:t>
      </w:r>
      <w:bookmarkEnd w:id="329"/>
    </w:p>
    <w:p>
      <w:pPr>
        <w:pStyle w:val="Normal"/>
        <w:rPr/>
      </w:pPr>
      <w:r>
        <w:rPr/>
      </w:r>
    </w:p>
    <w:p>
      <w:pPr>
        <w:pStyle w:val="ListParagraph"/>
        <w:rPr/>
      </w:pPr>
      <w:r>
        <w:rPr/>
        <w:t>Propõe-se para trabalhos futuros a avaliação da aplicação da NR-18 em canteiros de obra, contudo em outras etapas de construções, como na etapa de estrutura. Em muitos casos, o número de colaboradores por canteiro pode ultrapassar 100 pessoas. Portanto, é essencial verificar se as instalações do canteiro estão dimensionadas adequadamente, abrangendo aspectos como refeitório, bacias sanitárias e chuveiros.</w:t>
      </w:r>
    </w:p>
    <w:p>
      <w:pPr>
        <w:pStyle w:val="ListParagraph"/>
        <w:tabs>
          <w:tab w:val="clear" w:pos="708"/>
          <w:tab w:val="left" w:pos="8789" w:leader="none"/>
        </w:tabs>
        <w:jc w:val="center"/>
        <w:rPr/>
      </w:pPr>
      <w:r>
        <w:rPr/>
      </w:r>
    </w:p>
    <w:p>
      <w:pPr>
        <w:pStyle w:val="ListParagraph"/>
        <w:tabs>
          <w:tab w:val="clear" w:pos="708"/>
          <w:tab w:val="left" w:pos="8789" w:leader="none"/>
        </w:tabs>
        <w:jc w:val="center"/>
        <w:rPr/>
      </w:pPr>
      <w:r>
        <w:rPr/>
      </w:r>
    </w:p>
    <w:p>
      <w:pPr>
        <w:pStyle w:val="ListParagraph"/>
        <w:tabs>
          <w:tab w:val="clear" w:pos="708"/>
          <w:tab w:val="left" w:pos="8789" w:leader="none"/>
        </w:tabs>
        <w:jc w:val="center"/>
        <w:rPr/>
      </w:pPr>
      <w:r>
        <w:rPr/>
      </w:r>
    </w:p>
    <w:p>
      <w:pPr>
        <w:pStyle w:val="ListParagraph"/>
        <w:tabs>
          <w:tab w:val="clear" w:pos="708"/>
          <w:tab w:val="left" w:pos="8789" w:leader="none"/>
        </w:tabs>
        <w:jc w:val="center"/>
        <w:rPr/>
      </w:pPr>
      <w:r>
        <w:rPr/>
      </w:r>
    </w:p>
    <w:p>
      <w:pPr>
        <w:pStyle w:val="ListParagraph"/>
        <w:tabs>
          <w:tab w:val="clear" w:pos="708"/>
          <w:tab w:val="left" w:pos="8789" w:leader="none"/>
        </w:tabs>
        <w:jc w:val="center"/>
        <w:rPr/>
      </w:pPr>
      <w:r>
        <w:rPr/>
      </w:r>
    </w:p>
    <w:p>
      <w:pPr>
        <w:pStyle w:val="ListParagraph"/>
        <w:tabs>
          <w:tab w:val="clear" w:pos="708"/>
          <w:tab w:val="left" w:pos="8789" w:leader="none"/>
        </w:tabs>
        <w:jc w:val="center"/>
        <w:rPr/>
      </w:pPr>
      <w:r>
        <w:rPr/>
      </w:r>
    </w:p>
    <w:p>
      <w:pPr>
        <w:pStyle w:val="ListParagraph"/>
        <w:tabs>
          <w:tab w:val="clear" w:pos="708"/>
          <w:tab w:val="left" w:pos="8789" w:leader="none"/>
        </w:tabs>
        <w:jc w:val="center"/>
        <w:rPr/>
      </w:pPr>
      <w:r>
        <w:rPr/>
      </w:r>
    </w:p>
    <w:p>
      <w:pPr>
        <w:pStyle w:val="ListParagraph"/>
        <w:tabs>
          <w:tab w:val="clear" w:pos="708"/>
          <w:tab w:val="left" w:pos="8789" w:leader="none"/>
        </w:tabs>
        <w:jc w:val="center"/>
        <w:rPr/>
      </w:pPr>
      <w:r>
        <w:rPr/>
      </w:r>
    </w:p>
    <w:p>
      <w:pPr>
        <w:pStyle w:val="ListParagraph"/>
        <w:tabs>
          <w:tab w:val="clear" w:pos="708"/>
          <w:tab w:val="left" w:pos="8789" w:leader="none"/>
        </w:tabs>
        <w:jc w:val="center"/>
        <w:rPr/>
      </w:pPr>
      <w:r>
        <w:rPr/>
      </w:r>
    </w:p>
    <w:p>
      <w:pPr>
        <w:pStyle w:val="ListParagraph"/>
        <w:tabs>
          <w:tab w:val="clear" w:pos="708"/>
          <w:tab w:val="left" w:pos="8789" w:leader="none"/>
        </w:tabs>
        <w:jc w:val="center"/>
        <w:rPr/>
      </w:pPr>
      <w:r>
        <w:rPr/>
      </w:r>
    </w:p>
    <w:p>
      <w:pPr>
        <w:pStyle w:val="ListParagraph"/>
        <w:tabs>
          <w:tab w:val="clear" w:pos="708"/>
          <w:tab w:val="left" w:pos="8789" w:leader="none"/>
        </w:tabs>
        <w:jc w:val="center"/>
        <w:rPr/>
      </w:pPr>
      <w:r>
        <w:rPr/>
      </w:r>
    </w:p>
    <w:p>
      <w:pPr>
        <w:pStyle w:val="ListParagraph"/>
        <w:tabs>
          <w:tab w:val="clear" w:pos="708"/>
          <w:tab w:val="left" w:pos="8789" w:leader="none"/>
        </w:tabs>
        <w:jc w:val="center"/>
        <w:rPr/>
      </w:pPr>
      <w:r>
        <w:rPr/>
      </w:r>
    </w:p>
    <w:p>
      <w:pPr>
        <w:pStyle w:val="ListParagraph"/>
        <w:tabs>
          <w:tab w:val="clear" w:pos="708"/>
          <w:tab w:val="left" w:pos="8789" w:leader="none"/>
        </w:tabs>
        <w:jc w:val="center"/>
        <w:rPr/>
      </w:pPr>
      <w:r>
        <w:rPr/>
      </w:r>
    </w:p>
    <w:p>
      <w:pPr>
        <w:pStyle w:val="ListParagraph"/>
        <w:tabs>
          <w:tab w:val="clear" w:pos="708"/>
          <w:tab w:val="left" w:pos="8789" w:leader="none"/>
        </w:tabs>
        <w:jc w:val="center"/>
        <w:rPr/>
      </w:pPr>
      <w:r>
        <w:rPr/>
      </w:r>
    </w:p>
    <w:p>
      <w:pPr>
        <w:pStyle w:val="ListParagraph"/>
        <w:tabs>
          <w:tab w:val="clear" w:pos="708"/>
          <w:tab w:val="left" w:pos="8789" w:leader="none"/>
        </w:tabs>
        <w:jc w:val="center"/>
        <w:rPr/>
      </w:pPr>
      <w:r>
        <w:rPr/>
      </w:r>
    </w:p>
    <w:p>
      <w:pPr>
        <w:pStyle w:val="ListParagraph"/>
        <w:tabs>
          <w:tab w:val="clear" w:pos="708"/>
          <w:tab w:val="left" w:pos="8789" w:leader="none"/>
        </w:tabs>
        <w:jc w:val="center"/>
        <w:rPr/>
      </w:pPr>
      <w:r>
        <w:rPr/>
      </w:r>
    </w:p>
    <w:p>
      <w:pPr>
        <w:pStyle w:val="ListParagraph"/>
        <w:tabs>
          <w:tab w:val="clear" w:pos="708"/>
          <w:tab w:val="left" w:pos="8789" w:leader="none"/>
        </w:tabs>
        <w:jc w:val="center"/>
        <w:rPr/>
      </w:pPr>
      <w:r>
        <w:rPr/>
      </w:r>
    </w:p>
    <w:p>
      <w:pPr>
        <w:pStyle w:val="ListParagraph"/>
        <w:tabs>
          <w:tab w:val="clear" w:pos="708"/>
          <w:tab w:val="left" w:pos="8789" w:leader="none"/>
        </w:tabs>
        <w:jc w:val="center"/>
        <w:rPr/>
      </w:pPr>
      <w:r>
        <w:rPr/>
      </w:r>
    </w:p>
    <w:p>
      <w:pPr>
        <w:pStyle w:val="ListParagraph"/>
        <w:tabs>
          <w:tab w:val="clear" w:pos="708"/>
          <w:tab w:val="left" w:pos="8789" w:leader="none"/>
        </w:tabs>
        <w:jc w:val="center"/>
        <w:rPr/>
      </w:pPr>
      <w:r>
        <w:rPr/>
      </w:r>
    </w:p>
    <w:p>
      <w:pPr>
        <w:pStyle w:val="ListParagraph"/>
        <w:tabs>
          <w:tab w:val="clear" w:pos="708"/>
          <w:tab w:val="left" w:pos="8789" w:leader="none"/>
        </w:tabs>
        <w:jc w:val="center"/>
        <w:rPr/>
      </w:pPr>
      <w:r>
        <w:rPr/>
      </w:r>
    </w:p>
    <w:p>
      <w:pPr>
        <w:pStyle w:val="ListParagraph"/>
        <w:tabs>
          <w:tab w:val="clear" w:pos="708"/>
          <w:tab w:val="left" w:pos="8789" w:leader="none"/>
        </w:tabs>
        <w:jc w:val="center"/>
        <w:rPr/>
      </w:pPr>
      <w:r>
        <w:rPr/>
      </w:r>
    </w:p>
    <w:p>
      <w:pPr>
        <w:pStyle w:val="ListParagraph"/>
        <w:tabs>
          <w:tab w:val="clear" w:pos="708"/>
          <w:tab w:val="left" w:pos="8789" w:leader="none"/>
        </w:tabs>
        <w:jc w:val="center"/>
        <w:rPr/>
      </w:pPr>
      <w:r>
        <w:rPr/>
      </w:r>
    </w:p>
    <w:p>
      <w:pPr>
        <w:pStyle w:val="Normal"/>
        <w:tabs>
          <w:tab w:val="clear" w:pos="708"/>
          <w:tab w:val="left" w:pos="8789" w:leader="none"/>
        </w:tabs>
        <w:rPr/>
      </w:pPr>
      <w:r>
        <w:rPr/>
      </w:r>
    </w:p>
    <w:p>
      <w:pPr>
        <w:pStyle w:val="Normal"/>
        <w:tabs>
          <w:tab w:val="clear" w:pos="708"/>
          <w:tab w:val="left" w:pos="8789" w:leader="none"/>
        </w:tabs>
        <w:rPr/>
      </w:pPr>
      <w:r>
        <w:rPr/>
      </w:r>
    </w:p>
    <w:p>
      <w:pPr>
        <w:pStyle w:val="Ttulo1"/>
        <w:jc w:val="center"/>
        <w:rPr/>
      </w:pPr>
      <w:bookmarkStart w:id="330" w:name="_Toc136701968"/>
      <w:bookmarkStart w:id="331" w:name="_Toc153611179"/>
      <w:r>
        <w:rPr/>
        <w:t>REFERÊNCIAS</w:t>
      </w:r>
      <w:bookmarkEnd w:id="330"/>
      <w:bookmarkEnd w:id="331"/>
    </w:p>
    <w:p>
      <w:pPr>
        <w:pStyle w:val="Normal"/>
        <w:rPr/>
      </w:pPr>
      <w:r>
        <w:rPr/>
      </w:r>
    </w:p>
    <w:p>
      <w:pPr>
        <w:pStyle w:val="Normal"/>
        <w:rPr/>
      </w:pPr>
      <w:r>
        <w:rPr/>
        <w:t xml:space="preserve">ASSOCIAÇÃO BRASILEIRA DE NORMAS TÉCNICAS. </w:t>
      </w:r>
      <w:r>
        <w:rPr>
          <w:b/>
          <w:bCs/>
        </w:rPr>
        <w:t>NBR 6494: Segurança nos andaimes</w:t>
      </w:r>
      <w:r>
        <w:rPr/>
        <w:t>. Rio de Janeiro: ASSOCIAÇÃO BRASILEIRA DE NORMAS TÉCNICAS, 1990.</w:t>
      </w:r>
    </w:p>
    <w:p>
      <w:pPr>
        <w:pStyle w:val="Normal"/>
        <w:rPr/>
      </w:pPr>
      <w:r>
        <w:rPr/>
      </w:r>
    </w:p>
    <w:p>
      <w:pPr>
        <w:pStyle w:val="Normal"/>
        <w:rPr/>
      </w:pPr>
      <w:r>
        <w:rPr/>
        <w:t xml:space="preserve">ASSOCIAÇÃO BRASILEIRA DE NORMAS TÉCNICAS. </w:t>
      </w:r>
      <w:r>
        <w:rPr>
          <w:b/>
          <w:bCs/>
        </w:rPr>
        <w:t>NBR 12284: Áreas de vivência em canteiros de obras</w:t>
      </w:r>
      <w:r>
        <w:rPr/>
        <w:t>. Rio de Janeiro: ASSOCIAÇÃO BRASILEIRA DE NORMAS TÉCNICAS, 1991.</w:t>
      </w:r>
    </w:p>
    <w:p>
      <w:pPr>
        <w:pStyle w:val="Normal"/>
        <w:rPr/>
      </w:pPr>
      <w:r>
        <w:rPr/>
      </w:r>
    </w:p>
    <w:p>
      <w:pPr>
        <w:pStyle w:val="Normal"/>
        <w:rPr/>
      </w:pPr>
      <w:r>
        <w:rPr/>
        <w:t xml:space="preserve">BARBOSA FILHO, A. N. </w:t>
      </w:r>
      <w:r>
        <w:rPr>
          <w:b/>
          <w:bCs/>
        </w:rPr>
        <w:t>Segurança do trabalho na construção civil</w:t>
      </w:r>
      <w:r>
        <w:rPr/>
        <w:t>. São Paulo: Atlas, 2015.</w:t>
      </w:r>
    </w:p>
    <w:p>
      <w:pPr>
        <w:pStyle w:val="Normal"/>
        <w:rPr/>
      </w:pPr>
      <w:r>
        <w:rPr/>
      </w:r>
    </w:p>
    <w:p>
      <w:pPr>
        <w:pStyle w:val="Normal"/>
        <w:rPr/>
      </w:pPr>
      <w:r>
        <w:rPr/>
        <w:t xml:space="preserve">BBC News Brasil. </w:t>
      </w:r>
      <w:r>
        <w:rPr>
          <w:b/>
          <w:bCs/>
        </w:rPr>
        <w:t>Coronavírus: OMS declara pandemia</w:t>
      </w:r>
      <w:r>
        <w:rPr/>
        <w:t>. 2020. Disponível em: &lt;https://www.bbc.com/portuguese/geral-51842518&gt;. Acesso em: 19 ago. 2023.</w:t>
      </w:r>
    </w:p>
    <w:p>
      <w:pPr>
        <w:pStyle w:val="Normal"/>
        <w:rPr/>
      </w:pPr>
      <w:r>
        <w:rPr/>
      </w:r>
    </w:p>
    <w:p>
      <w:pPr>
        <w:pStyle w:val="Normal"/>
        <w:rPr/>
      </w:pPr>
      <w:r>
        <w:rPr/>
        <w:t xml:space="preserve">BRASIL. </w:t>
      </w:r>
      <w:r>
        <w:rPr>
          <w:b/>
          <w:bCs/>
        </w:rPr>
        <w:t>Lei nº 8.213, de 24 de julho de 1991</w:t>
      </w:r>
      <w:r>
        <w:rPr/>
        <w:t>. Planos de benefícios da previdência social e dá outras providências. Brasília, DF: Presidência da República, 1991. Disponível em: &lt;http://www.planalto.gov.br/ccivil_03/leis/l8213cons.htm&gt;. Acesso em: 07 abr. 2023.</w:t>
      </w:r>
    </w:p>
    <w:p>
      <w:pPr>
        <w:pStyle w:val="Normal"/>
        <w:rPr/>
      </w:pPr>
      <w:r>
        <w:rPr/>
      </w:r>
    </w:p>
    <w:p>
      <w:pPr>
        <w:pStyle w:val="Normal"/>
        <w:rPr/>
      </w:pPr>
      <w:r>
        <w:rPr/>
        <w:t xml:space="preserve">BRASIL. Ministério do Trabalho e Emprego. </w:t>
      </w:r>
      <w:r>
        <w:rPr>
          <w:b/>
          <w:bCs/>
        </w:rPr>
        <w:t>NR 01 – Disposições gerais e gerenciamento de riscos ocupacionais.</w:t>
      </w:r>
      <w:r>
        <w:rPr/>
        <w:t xml:space="preserve"> 2022a. Disponível em: &lt;https://www.gov.br/trabalho-e-previdencia/pt-br/acesso-a-informacao/participacao-social/conselhos-e-orgaos-colegiados/ctpp/arquivos/normas-regulamentadoras/nr-01-atualizada-2022-1.pdf&gt;. Acesso em: 18 mar. 2023.</w:t>
      </w:r>
    </w:p>
    <w:p>
      <w:pPr>
        <w:pStyle w:val="Normal"/>
        <w:rPr/>
      </w:pPr>
      <w:r>
        <w:rPr/>
      </w:r>
    </w:p>
    <w:p>
      <w:pPr>
        <w:pStyle w:val="Normal"/>
        <w:rPr/>
      </w:pPr>
      <w:r>
        <w:rPr/>
        <w:t xml:space="preserve">BRASIL. Ministério do Trabalho e Emprego. </w:t>
      </w:r>
      <w:r>
        <w:rPr>
          <w:b/>
          <w:bCs/>
        </w:rPr>
        <w:t>NR 10 – Segurança em instalações e serviços em eletricidade.</w:t>
      </w:r>
      <w:r>
        <w:rPr/>
        <w:t xml:space="preserve"> 2019. Disponível em: &lt;https://www.gov.br/trabalho-e-emprego/pt-br/acesso-a-informacao/participacao-social/conselhos-e-orgaos-colegiados/comissao-tripartite-partitaria-permanente/arquivos/normas-regulamentadoras/nr-10.pdf&gt;. Acesso em: 08 out. 2023.</w:t>
      </w:r>
    </w:p>
    <w:p>
      <w:pPr>
        <w:pStyle w:val="Normal"/>
        <w:rPr/>
      </w:pPr>
      <w:r>
        <w:rPr/>
      </w:r>
    </w:p>
    <w:p>
      <w:pPr>
        <w:pStyle w:val="Normal"/>
        <w:rPr/>
      </w:pPr>
      <w:r>
        <w:rPr/>
        <w:t xml:space="preserve">BRASIL. Ministério do Trabalho e Emprego. </w:t>
      </w:r>
      <w:r>
        <w:rPr>
          <w:b/>
          <w:bCs/>
        </w:rPr>
        <w:t>NR 12 – Segurança no trabalho em máquinas e equipamentos.</w:t>
      </w:r>
      <w:r>
        <w:rPr/>
        <w:t xml:space="preserve"> 2022b. Disponível em: &lt;</w:t>
      </w:r>
      <w:hyperlink r:id="rId117">
        <w:r>
          <w:rPr/>
          <w:t>https://www.gov.br/trabalho-e-previdencia/pt-br/acesso-a-informacao/participacao-social/conselhos-e-orgaos-colegiados/ctpp/arquivos/normas-regulamentadoras/nr-12-atualizada-2022-1.pdf</w:t>
        </w:r>
      </w:hyperlink>
      <w:r>
        <w:rPr/>
        <w:t xml:space="preserve">&gt;. Acesso em: 08 maio 2023. </w:t>
      </w:r>
    </w:p>
    <w:p>
      <w:pPr>
        <w:pStyle w:val="Normal"/>
        <w:rPr/>
      </w:pPr>
      <w:r>
        <w:rPr/>
      </w:r>
    </w:p>
    <w:p>
      <w:pPr>
        <w:pStyle w:val="Normal"/>
        <w:rPr/>
      </w:pPr>
      <w:r>
        <w:rPr/>
        <w:t xml:space="preserve">BRASIL. Ministério do Trabalho e Emprego. </w:t>
      </w:r>
      <w:r>
        <w:rPr>
          <w:b/>
          <w:bCs/>
        </w:rPr>
        <w:t>NR 18 – Segurança e saúde no trabalho na indústria da construção.</w:t>
      </w:r>
      <w:r>
        <w:rPr/>
        <w:t xml:space="preserve"> 2021. Disponível em: &lt;https://www.gov.br/trabalho-e-previdencia/pt-br/acesso-a-informacao/participacao-social/conselhos-e-orgaos-colegiados/ctpp/arquivos/normas-regulamentadoras/nr-18-atualizada-2020-2.pdf&gt;. Acesso em: 19 mar. 2023.</w:t>
      </w:r>
    </w:p>
    <w:p>
      <w:pPr>
        <w:pStyle w:val="Normal"/>
        <w:rPr/>
      </w:pPr>
      <w:r>
        <w:rPr/>
      </w:r>
    </w:p>
    <w:p>
      <w:pPr>
        <w:pStyle w:val="Normal"/>
        <w:rPr/>
      </w:pPr>
      <w:r>
        <w:rPr/>
        <w:t xml:space="preserve">BRASIL. Ministério do Trabalho e Emprego. </w:t>
      </w:r>
      <w:r>
        <w:rPr>
          <w:b/>
          <w:bCs/>
        </w:rPr>
        <w:t>NR 26 – Sinalização de segurança.</w:t>
      </w:r>
      <w:r>
        <w:rPr/>
        <w:t xml:space="preserve"> 2022c. Disponível em: &lt;https://www.gov.br/trabalho-e-previdencia/pt-br/acesso-a-informacao/participacao-social/conselhos-e-orgaos-colegiados/ctpp/arquivos/normas-regulamentadoras/nr-26-atualizada-2022.pdf&gt;. Acesso em: 09 maio 2023. </w:t>
      </w:r>
    </w:p>
    <w:p>
      <w:pPr>
        <w:pStyle w:val="Normal"/>
        <w:rPr/>
      </w:pPr>
      <w:r>
        <w:rPr/>
      </w:r>
    </w:p>
    <w:p>
      <w:pPr>
        <w:pStyle w:val="Normal"/>
        <w:rPr>
          <w:rFonts w:cs="Arial"/>
          <w:szCs w:val="24"/>
        </w:rPr>
      </w:pPr>
      <w:r>
        <w:rPr>
          <w:rFonts w:cs="Arial"/>
          <w:szCs w:val="24"/>
        </w:rPr>
        <w:t>CÂMARA BRASILEIRA DA INDÚSTRIA DA CONSTRUÇÃO CIVIL – CBIC</w:t>
      </w:r>
      <w:r>
        <w:rPr>
          <w:rFonts w:cs="Arial"/>
          <w:b/>
          <w:bCs/>
          <w:szCs w:val="24"/>
        </w:rPr>
        <w:t>. Cadeia Produtiva</w:t>
      </w:r>
      <w:r>
        <w:rPr>
          <w:rFonts w:cs="Arial"/>
          <w:szCs w:val="24"/>
        </w:rPr>
        <w:t>. 2022. Disponível em: &lt;http://www.cbicdados.com.br/menu/estudos-especificos-da-construcao-civil/cadeia-produtiva&gt;. Acesso em: 01 abr. 2023</w:t>
      </w:r>
    </w:p>
    <w:p>
      <w:pPr>
        <w:pStyle w:val="Normal"/>
        <w:rPr>
          <w:rFonts w:cs="Arial"/>
          <w:szCs w:val="24"/>
        </w:rPr>
      </w:pPr>
      <w:r>
        <w:rPr>
          <w:rFonts w:cs="Arial"/>
          <w:szCs w:val="24"/>
        </w:rPr>
      </w:r>
    </w:p>
    <w:p>
      <w:pPr>
        <w:pStyle w:val="Normal"/>
        <w:rPr/>
      </w:pPr>
      <w:r>
        <w:rPr/>
        <w:t xml:space="preserve">CAMISASSA, M. Q. </w:t>
      </w:r>
      <w:r>
        <w:rPr>
          <w:b/>
          <w:bCs/>
        </w:rPr>
        <w:t>Segurança e saúde no trabalho: NRs 1 a 36 comentadas e descomplicadas</w:t>
      </w:r>
      <w:r>
        <w:rPr/>
        <w:t>. São Paulo: Editora Método, 2015.</w:t>
      </w:r>
    </w:p>
    <w:p>
      <w:pPr>
        <w:pStyle w:val="Normal"/>
        <w:rPr/>
      </w:pPr>
      <w:r>
        <w:rPr/>
      </w:r>
    </w:p>
    <w:p>
      <w:pPr>
        <w:pStyle w:val="Normal"/>
        <w:rPr/>
      </w:pPr>
      <w:r>
        <w:rPr/>
        <w:t xml:space="preserve">CONFEDERAÇÃO NACIONAL DA INDÚSTRIA. </w:t>
      </w:r>
      <w:r>
        <w:rPr>
          <w:b/>
          <w:bCs/>
        </w:rPr>
        <w:t>Construção sustentável: a mudança em curso</w:t>
      </w:r>
      <w:r>
        <w:rPr/>
        <w:t xml:space="preserve">. Confederação Nacional da Indústria, Câmara Brasileira da Indústria da Construção.  Brasília: CNI. 2017. </w:t>
      </w:r>
    </w:p>
    <w:p>
      <w:pPr>
        <w:pStyle w:val="Normal"/>
        <w:rPr/>
      </w:pPr>
      <w:r>
        <w:rPr/>
      </w:r>
    </w:p>
    <w:p>
      <w:pPr>
        <w:pStyle w:val="Normal"/>
        <w:rPr/>
      </w:pPr>
      <w:r>
        <w:rPr/>
        <w:t xml:space="preserve">DOMINGUES, G. V. D.R.; VILLARINHO, L.A. </w:t>
      </w:r>
      <w:r>
        <w:rPr>
          <w:b/>
          <w:bCs/>
        </w:rPr>
        <w:t>Segurança do trabalho em obras de pequeno porte na cidade de Trindade-Go: verificação da norma regulamentadora Nº 18</w:t>
      </w:r>
      <w:r>
        <w:rPr/>
        <w:t>. 2022. Trabalho de Conclusão de Curso (Bacharelado em Engenharia Civil) – Instituto Federal de Educação, Ciência e Tecnologia Goiano, Trindade, 2022.</w:t>
      </w:r>
    </w:p>
    <w:p>
      <w:pPr>
        <w:pStyle w:val="Normal"/>
        <w:rPr/>
      </w:pPr>
      <w:r>
        <w:rPr/>
      </w:r>
    </w:p>
    <w:p>
      <w:pPr>
        <w:pStyle w:val="Normal"/>
        <w:rPr/>
      </w:pPr>
      <w:r>
        <w:rPr>
          <w:color w:val="000000" w:themeColor="text1"/>
        </w:rPr>
        <w:t xml:space="preserve">FELIX, M. C.; </w:t>
      </w:r>
      <w:r>
        <w:rPr/>
        <w:t>LIMA JUNIOR, J. M.; VIANA, M. J.; SOUZA, P. C.; SILVA, R.; FERREIRA, S. S.</w:t>
      </w:r>
      <w:r>
        <w:rPr>
          <w:b/>
          <w:bCs/>
          <w:color w:val="000000" w:themeColor="text1"/>
        </w:rPr>
        <w:t xml:space="preserve"> </w:t>
      </w:r>
      <w:r>
        <w:rPr>
          <w:b/>
          <w:bCs/>
        </w:rPr>
        <w:t>Engenharia de Segurança do trabalho na indústria da construção</w:t>
      </w:r>
      <w:r>
        <w:rPr/>
        <w:t>. 2 ed. São Paulo: Fundacentro, 2011.</w:t>
      </w:r>
    </w:p>
    <w:p>
      <w:pPr>
        <w:pStyle w:val="Normal"/>
        <w:rPr/>
      </w:pPr>
      <w:r>
        <w:rPr/>
      </w:r>
    </w:p>
    <w:p>
      <w:pPr>
        <w:pStyle w:val="Normal"/>
        <w:rPr/>
      </w:pPr>
      <w:r>
        <w:rPr/>
        <w:t xml:space="preserve">FERREIRA, L S.; PEIXOTO N. H. </w:t>
      </w:r>
      <w:r>
        <w:rPr>
          <w:b/>
          <w:bCs/>
        </w:rPr>
        <w:t>Segurança do trabalho I</w:t>
      </w:r>
      <w:r>
        <w:rPr/>
        <w:t>. Santa Maria: Universidade Federal de Santa Maria: Colégio Técnico Industrial de Santa Maria, 2012.</w:t>
      </w:r>
    </w:p>
    <w:p>
      <w:pPr>
        <w:pStyle w:val="Normal"/>
        <w:rPr/>
      </w:pPr>
      <w:r>
        <w:rPr/>
      </w:r>
    </w:p>
    <w:p>
      <w:pPr>
        <w:pStyle w:val="Normal"/>
        <w:rPr/>
      </w:pPr>
      <w:r>
        <w:rPr/>
        <w:t xml:space="preserve">FORMOSO, C.T.; SAURIN, T.A. </w:t>
      </w:r>
      <w:r>
        <w:rPr>
          <w:b/>
          <w:bCs/>
        </w:rPr>
        <w:t>Planejamento de canteiros de obra e gestão de processos</w:t>
      </w:r>
      <w:r>
        <w:rPr/>
        <w:t>. Vol. 3. Porto Alegre: ANTAC, 2006.</w:t>
      </w:r>
    </w:p>
    <w:p>
      <w:pPr>
        <w:pStyle w:val="Normal"/>
        <w:rPr/>
      </w:pPr>
      <w:r>
        <w:rPr/>
      </w:r>
    </w:p>
    <w:p>
      <w:pPr>
        <w:pStyle w:val="Normal"/>
        <w:rPr/>
      </w:pPr>
      <w:r>
        <w:rPr/>
        <w:t xml:space="preserve">GAIA, T. A. </w:t>
      </w:r>
      <w:r>
        <w:rPr>
          <w:b/>
          <w:bCs/>
        </w:rPr>
        <w:t>Revisão da NR 18: Mudanças do novo texto</w:t>
      </w:r>
      <w:r>
        <w:rPr/>
        <w:t>. MBA em Gestão de Obras e Projetos. RUNA – Repositório Universitário Ânima. 2020.</w:t>
      </w:r>
    </w:p>
    <w:p>
      <w:pPr>
        <w:pStyle w:val="Normal"/>
        <w:rPr/>
      </w:pPr>
      <w:r>
        <w:rPr/>
      </w:r>
    </w:p>
    <w:p>
      <w:pPr>
        <w:pStyle w:val="Normal"/>
        <w:rPr/>
      </w:pPr>
      <w:r>
        <w:rPr/>
        <w:t xml:space="preserve">GARCIA, S. C. </w:t>
      </w:r>
      <w:r>
        <w:rPr>
          <w:b/>
          <w:bCs/>
        </w:rPr>
        <w:t>Abril verde: Brasil registrou crescimento de 30% em óbitos e acidentes de trabalho em 2021 na comparação com o ano anterior</w:t>
      </w:r>
      <w:r>
        <w:rPr/>
        <w:t>. 2022. Disponível em: &lt;https://www.trt4.jus.br/portais/trt4/modulos/noticias/501143&gt;. Acesso em 07 abr. 2023.</w:t>
      </w:r>
    </w:p>
    <w:p>
      <w:pPr>
        <w:pStyle w:val="Normal"/>
        <w:rPr/>
      </w:pPr>
      <w:r>
        <w:rPr/>
      </w:r>
    </w:p>
    <w:p>
      <w:pPr>
        <w:pStyle w:val="Normal"/>
        <w:rPr/>
      </w:pPr>
      <w:r>
        <w:rPr/>
        <w:t xml:space="preserve">INSON, N. B. </w:t>
      </w:r>
      <w:r>
        <w:rPr>
          <w:b/>
          <w:bCs/>
        </w:rPr>
        <w:t>Andaime: 7 tipos mais usados e cuidados para se ter na obra</w:t>
      </w:r>
      <w:r>
        <w:rPr/>
        <w:t>. 2022. Disponível em: &lt;https://www.vivadecora.com.br/pro/andaime/&gt;. Acesso em 09 maio 2023.</w:t>
      </w:r>
    </w:p>
    <w:p>
      <w:pPr>
        <w:pStyle w:val="Normal"/>
        <w:rPr/>
      </w:pPr>
      <w:r>
        <w:rPr/>
      </w:r>
    </w:p>
    <w:p>
      <w:pPr>
        <w:pStyle w:val="Normal"/>
        <w:rPr/>
      </w:pPr>
      <w:r>
        <w:rPr/>
        <w:t xml:space="preserve">LIMA JÚNIOR, J. M.; LÓPEZ-VALCÁRCEL, A.; DIAS, L. A. </w:t>
      </w:r>
      <w:r>
        <w:rPr>
          <w:b/>
          <w:bCs/>
        </w:rPr>
        <w:t>Segurança e saúde no trabalho da construção: experiência Brasileira e panorama internacional</w:t>
      </w:r>
      <w:r>
        <w:rPr/>
        <w:t>. Brasília: OIT - Secretaria Internacional do Trabalho, 2005.</w:t>
      </w:r>
    </w:p>
    <w:p>
      <w:pPr>
        <w:pStyle w:val="Normal"/>
        <w:rPr/>
      </w:pPr>
      <w:r>
        <w:rPr/>
      </w:r>
    </w:p>
    <w:p>
      <w:pPr>
        <w:pStyle w:val="Normal"/>
        <w:rPr/>
      </w:pPr>
      <w:r>
        <w:rPr/>
        <w:t xml:space="preserve">MARTINS, M. S. </w:t>
      </w:r>
      <w:r>
        <w:rPr>
          <w:b/>
          <w:bCs/>
        </w:rPr>
        <w:t>Diretrizes para elaboração de medidas de prevenção contra quedas de altura em edificações</w:t>
      </w:r>
      <w:r>
        <w:rPr/>
        <w:t>.  2005. Dissertação (Mestrado em Construção Civil) – Universidade Federal de São Carlos, São Carlos, 2005.</w:t>
      </w:r>
    </w:p>
    <w:p>
      <w:pPr>
        <w:pStyle w:val="Normal"/>
        <w:rPr/>
      </w:pPr>
      <w:r>
        <w:rPr/>
      </w:r>
    </w:p>
    <w:p>
      <w:pPr>
        <w:pStyle w:val="Normal"/>
        <w:rPr/>
      </w:pPr>
      <w:r>
        <w:rPr/>
        <w:t xml:space="preserve">MEDEIROS, M. O.; SILVA, M. R.; SOUZA, G. C.; ARAÚJO, N. M. C. Diagnóstico do cumprimento da NR-18 pelas empresas construtoras da grande João Pessoa, vinte anos após sua revisão. </w:t>
      </w:r>
      <w:r>
        <w:rPr>
          <w:b/>
          <w:bCs/>
        </w:rPr>
        <w:t>Revista Principia: Divulgação Científica e Tecnológica do IFPB</w:t>
      </w:r>
      <w:r>
        <w:rPr/>
        <w:t>, João Pessoa, n.30, p.55-64, 2016.</w:t>
      </w:r>
    </w:p>
    <w:p>
      <w:pPr>
        <w:pStyle w:val="Normal"/>
        <w:rPr>
          <w:rStyle w:val="SubtleEmphasis"/>
        </w:rPr>
      </w:pPr>
      <w:r>
        <w:rPr/>
      </w:r>
    </w:p>
    <w:p>
      <w:pPr>
        <w:pStyle w:val="Normal"/>
        <w:rPr/>
      </w:pPr>
      <w:r>
        <w:rPr/>
        <w:t xml:space="preserve">MINISTÉRIO DA PREVIDÊNCIA SOCIAL. </w:t>
      </w:r>
      <w:r>
        <w:rPr>
          <w:b/>
          <w:bCs/>
        </w:rPr>
        <w:t>Dados estatísticos – saúde e segurança do trabalhador.</w:t>
      </w:r>
      <w:r>
        <w:rPr/>
        <w:t xml:space="preserve"> 2023. Disponível em: &lt;https://www.gov.br/previdencia/pt-br/assuntos/previdencia-social/saude-e-seguranca-do-trabalhador/acidente_trabalho_incapacidade&gt; Acesso em 07 abr. 2023.</w:t>
      </w:r>
    </w:p>
    <w:p>
      <w:pPr>
        <w:pStyle w:val="Normal"/>
        <w:rPr>
          <w:rStyle w:val="SubtleEmphasis"/>
          <w:i w:val="false"/>
          <w:i w:val="false"/>
          <w:iCs w:val="false"/>
        </w:rPr>
      </w:pPr>
      <w:r>
        <w:rPr>
          <w:i w:val="false"/>
          <w:iCs w:val="false"/>
        </w:rPr>
      </w:r>
    </w:p>
    <w:p>
      <w:pPr>
        <w:pStyle w:val="Normal"/>
        <w:rPr/>
      </w:pPr>
      <w:r>
        <w:rPr/>
        <w:t xml:space="preserve">MINISTÉRIO DO TRABALHO E EMPREGO. </w:t>
      </w:r>
      <w:r>
        <w:rPr>
          <w:b/>
          <w:bCs/>
        </w:rPr>
        <w:t>Normas regulamentadoras – NR</w:t>
      </w:r>
      <w:r>
        <w:rPr/>
        <w:t>. 2023. Disponível em: &lt;https://www.gov.br/trabalho-e-previdencia/pt-br/composicao/orgaos-especificos/secretaria-de-trabalho/inspecao/seguranca-e-saude-no-trabalho/ctpp-nrs/normas-regulamentadoras-nrs&gt;. Acesso em: 13 mar. 2023.</w:t>
      </w:r>
    </w:p>
    <w:p>
      <w:pPr>
        <w:pStyle w:val="Normal"/>
        <w:rPr/>
      </w:pPr>
      <w:r>
        <w:rPr/>
      </w:r>
    </w:p>
    <w:p>
      <w:pPr>
        <w:pStyle w:val="Normal"/>
        <w:rPr/>
      </w:pPr>
      <w:r>
        <w:rPr/>
        <w:t xml:space="preserve">MIRANDA, M; QUADROS, R.; MARTINS JÚNIOR, W. A.; SOUZA, D. F. </w:t>
      </w:r>
      <w:r>
        <w:rPr>
          <w:b/>
          <w:bCs/>
        </w:rPr>
        <w:t>Avaliação das condições das instalações elétricas em canteiros de obras residenciais: Uma análise à luz da Norma Regulamentadora nº 18</w:t>
      </w:r>
      <w:r>
        <w:rPr/>
        <w:t>. E&amp;S - Engineering and Science, Vol 11, Edição 11:2. 2022.</w:t>
      </w:r>
    </w:p>
    <w:p>
      <w:pPr>
        <w:pStyle w:val="Normal"/>
        <w:rPr/>
      </w:pPr>
      <w:r>
        <w:rPr/>
      </w:r>
    </w:p>
    <w:p>
      <w:pPr>
        <w:pStyle w:val="Normal"/>
        <w:rPr/>
      </w:pPr>
      <w:r>
        <w:rPr/>
        <w:t xml:space="preserve">OBSERVATÓRIO DE SEGURANÇA E SAÚDE NO TRABALHO. </w:t>
      </w:r>
      <w:r>
        <w:rPr>
          <w:b/>
          <w:bCs/>
        </w:rPr>
        <w:t>Frequência de afastamentos – INSS</w:t>
      </w:r>
      <w:r>
        <w:rPr/>
        <w:t xml:space="preserve">. 2022a. Disponível em: </w:t>
      </w:r>
    </w:p>
    <w:p>
      <w:pPr>
        <w:pStyle w:val="Normal"/>
        <w:rPr/>
      </w:pPr>
      <w:r>
        <w:rPr/>
        <w:t>&lt;https://smartlabbr.org/sst/localidade/0?dimensao=frequenciaAfastamentos&gt;.Acesso em: 07 abr. 2023.</w:t>
      </w:r>
    </w:p>
    <w:p>
      <w:pPr>
        <w:pStyle w:val="Normal"/>
        <w:rPr/>
      </w:pPr>
      <w:r>
        <w:rPr/>
      </w:r>
    </w:p>
    <w:p>
      <w:pPr>
        <w:pStyle w:val="Normal"/>
        <w:rPr/>
      </w:pPr>
      <w:r>
        <w:rPr/>
        <w:t xml:space="preserve">OBSERVATÓRIO DE SEGURANÇA E SAÚDE NO TRABALHO. </w:t>
      </w:r>
      <w:r>
        <w:rPr>
          <w:b/>
          <w:bCs/>
        </w:rPr>
        <w:t>Frequência de notificações – CAT</w:t>
      </w:r>
      <w:r>
        <w:rPr/>
        <w:t xml:space="preserve">. 2022b. Disponível em: </w:t>
      </w:r>
    </w:p>
    <w:p>
      <w:pPr>
        <w:pStyle w:val="Normal"/>
        <w:rPr/>
      </w:pPr>
      <w:r>
        <w:rPr/>
        <w:t xml:space="preserve">&lt;https://smartlabbr.org/sst/localidade/0?dimensao=frequenciaAcidentes&gt;.Acesso em: 07 abr. 2023. </w:t>
      </w:r>
    </w:p>
    <w:p>
      <w:pPr>
        <w:pStyle w:val="Normal"/>
        <w:rPr/>
      </w:pPr>
      <w:r>
        <w:rPr/>
      </w:r>
    </w:p>
    <w:p>
      <w:pPr>
        <w:pStyle w:val="Normal"/>
        <w:rPr/>
      </w:pPr>
      <w:r>
        <w:rPr/>
        <w:t xml:space="preserve">OLIVEIRA, P. E. A.; BRITO, A. A.; LIMA, A. J. T.; SANTANA, N. S.; BRITO, V. H. A. </w:t>
      </w:r>
      <w:r>
        <w:rPr>
          <w:b/>
          <w:bCs/>
        </w:rPr>
        <w:t>Avaliação da aplicação da NR-18 em canteiros de obras: um estudo de caso na cidade de Campina Grande-PB</w:t>
      </w:r>
      <w:r>
        <w:rPr/>
        <w:t xml:space="preserve">. </w:t>
      </w:r>
      <w:r>
        <w:rPr>
          <w:i/>
          <w:iCs/>
        </w:rPr>
        <w:t>In: CONGRESSO BRASILEIRO DE ENGENHARIA DE PRODUÇÃO</w:t>
      </w:r>
      <w:r>
        <w:rPr/>
        <w:t>, 8. Anais. Ponta Grossa: CONBREPO, 2018.</w:t>
      </w:r>
    </w:p>
    <w:p>
      <w:pPr>
        <w:pStyle w:val="Normal"/>
        <w:rPr/>
      </w:pPr>
      <w:r>
        <w:rPr/>
      </w:r>
    </w:p>
    <w:p>
      <w:pPr>
        <w:pStyle w:val="Normal"/>
        <w:rPr/>
      </w:pPr>
      <w:r>
        <w:rPr/>
        <w:t xml:space="preserve">PEIXOTO, N. H. </w:t>
      </w:r>
      <w:r>
        <w:rPr>
          <w:b/>
          <w:bCs/>
        </w:rPr>
        <w:t>Curso técnico em automação industrial: segurança do trabalho</w:t>
      </w:r>
      <w:r>
        <w:rPr/>
        <w:t>. 3 ed. Santa Maria: Universidade Federal de Santa Maria: Colégio Técnico Industrial de Santa Maria, 2010.</w:t>
      </w:r>
    </w:p>
    <w:p>
      <w:pPr>
        <w:pStyle w:val="Normal"/>
        <w:rPr/>
      </w:pPr>
      <w:r>
        <w:rPr/>
      </w:r>
    </w:p>
    <w:p>
      <w:pPr>
        <w:pStyle w:val="Normal"/>
        <w:rPr/>
      </w:pPr>
      <w:r>
        <w:rPr/>
        <w:t xml:space="preserve">PEREIRA, C. </w:t>
      </w:r>
      <w:r>
        <w:rPr>
          <w:b/>
          <w:bCs/>
        </w:rPr>
        <w:t>Canteiro de obras: tipo, elementos e exigências da NR-18</w:t>
      </w:r>
      <w:r>
        <w:rPr/>
        <w:t>. 2018. Disponível em: &lt;https://www.escolaengenharia.com.br/canteiro-de-obras/&gt;. Acesso em: 22 abr. 2023.</w:t>
      </w:r>
    </w:p>
    <w:p>
      <w:pPr>
        <w:pStyle w:val="Normal"/>
        <w:rPr/>
      </w:pPr>
      <w:r>
        <w:rPr/>
        <w:t xml:space="preserve"> </w:t>
      </w:r>
    </w:p>
    <w:p>
      <w:pPr>
        <w:pStyle w:val="Normal"/>
        <w:rPr/>
      </w:pPr>
      <w:r>
        <w:rPr/>
        <w:t>SANT’ANNA JUNIOR, R</w:t>
      </w:r>
      <w:r>
        <w:rPr>
          <w:b/>
          <w:bCs/>
        </w:rPr>
        <w:t>. Aplicação da NR-18 em canteiros de obra: percepções e estudos de campo</w:t>
      </w:r>
      <w:r>
        <w:rPr/>
        <w:t>. 2013. Dissertação (Mestrado em Engenharia Civil) – Universidade Federal do Espírito Santo, Vitória, 2013.</w:t>
      </w:r>
    </w:p>
    <w:p>
      <w:pPr>
        <w:pStyle w:val="Normal"/>
        <w:rPr/>
      </w:pPr>
      <w:r>
        <w:rPr/>
      </w:r>
    </w:p>
    <w:p>
      <w:pPr>
        <w:pStyle w:val="Normal"/>
        <w:rPr/>
      </w:pPr>
      <w:r>
        <w:rPr/>
        <w:t xml:space="preserve">SILVA, F. T. A. </w:t>
      </w:r>
      <w:r>
        <w:rPr>
          <w:b/>
          <w:bCs/>
        </w:rPr>
        <w:t>Adequação de máquinas da construção civil à NR-12 – máquinas e equipamentos: Estudo de caso em uma construtora na cidade de Sumé/PB</w:t>
      </w:r>
      <w:r>
        <w:rPr/>
        <w:t>. Trabalho de Conclusão de Curso da Universidade Federal de Campina Grande, Sumé/PB, 2015.</w:t>
      </w:r>
    </w:p>
    <w:p>
      <w:pPr>
        <w:pStyle w:val="Normal"/>
        <w:rPr/>
      </w:pPr>
      <w:r>
        <w:rPr/>
      </w:r>
    </w:p>
    <w:p>
      <w:pPr>
        <w:pStyle w:val="Normal"/>
        <w:rPr/>
      </w:pPr>
      <w:r>
        <w:rPr/>
        <w:t>SISTEMA DE INFORMAÇÕES GEOGRÁFICAS DE GOIÂNIA – SIGGO. 2023. Disponível em: &lt;</w:t>
      </w:r>
      <w:hyperlink r:id="rId118">
        <w:r>
          <w:rPr>
            <w:rStyle w:val="LinkdaInternet"/>
            <w:color w:val="000000" w:themeColor="text1"/>
            <w:u w:val="none"/>
          </w:rPr>
          <w:t>https://portalmapa.goiania.go.gov.br/mapafacil/</w:t>
        </w:r>
      </w:hyperlink>
      <w:r>
        <w:rPr>
          <w:color w:val="000000" w:themeColor="text1"/>
        </w:rPr>
        <w:t xml:space="preserve">&gt;. </w:t>
      </w:r>
      <w:r>
        <w:rPr/>
        <w:t xml:space="preserve">Acesso 24 ago. 2023. </w:t>
      </w:r>
    </w:p>
    <w:p>
      <w:pPr>
        <w:pStyle w:val="Normal"/>
        <w:rPr/>
      </w:pPr>
      <w:r>
        <w:rPr/>
      </w:r>
    </w:p>
    <w:p>
      <w:pPr>
        <w:pStyle w:val="Normal"/>
        <w:rPr/>
      </w:pPr>
      <w:r>
        <w:rPr/>
        <w:t xml:space="preserve">URIAS, C.C. </w:t>
      </w:r>
      <w:r>
        <w:rPr>
          <w:b/>
          <w:bCs/>
        </w:rPr>
        <w:t>Análise da aplicação da NR-18 em canteiro de obra em Rio Verde - Go</w:t>
      </w:r>
      <w:r>
        <w:rPr/>
        <w:t>. 2020. Trabalho de Conclusão de Curso (Bacharelado em Engenharia Civil) – Instituto Federal de Educação, Ciência e Tecnologia Goiano, Rio Verde, 2020.</w:t>
      </w:r>
    </w:p>
    <w:p>
      <w:pPr>
        <w:pStyle w:val="Normal"/>
        <w:rPr/>
      </w:pPr>
      <w:r>
        <w:rPr/>
      </w:r>
    </w:p>
    <w:p>
      <w:pPr>
        <w:pStyle w:val="Normal"/>
        <w:rPr/>
      </w:pPr>
      <w:r>
        <w:rPr/>
        <w:t xml:space="preserve">ZARPELON, D.; DANTAS L.; LEME, R. </w:t>
      </w:r>
      <w:r>
        <w:rPr>
          <w:b/>
          <w:bCs/>
        </w:rPr>
        <w:t xml:space="preserve">A NR-18 como instrumento de gestão de segurança, saúde, higiene do trabalho e qualidade de vida para os trabalhadores da indústria da construção. </w:t>
      </w:r>
      <w:r>
        <w:rPr/>
        <w:t xml:space="preserve">Monografia (Especialização em Higiene Ocupacional). Escola Politécnica da Universidade de São Paulo, São Paulo, 2008. </w:t>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sectPr>
      <w:headerReference w:type="default" r:id="rId119"/>
      <w:type w:val="nextPage"/>
      <w:pgSz w:w="11906" w:h="16838"/>
      <w:pgMar w:left="1701" w:right="1134" w:header="709" w:top="1701" w:footer="0" w:bottom="1134"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Arial">
    <w:charset w:val="00"/>
    <w:family w:val="roman"/>
    <w:pitch w:val="variable"/>
  </w:font>
  <w:font w:name="Segoe UI">
    <w:charset w:val="00"/>
    <w:family w:val="roman"/>
    <w:pitch w:val="variable"/>
  </w:font>
  <w:font w:name="Liberation Sans">
    <w:altName w:val="Arial"/>
    <w:charset w:val="00"/>
    <w:family w:val="swiss"/>
    <w:pitch w:val="variable"/>
  </w:font>
  <w:font w:name="Calibri Light">
    <w:charset w:val="00"/>
    <w:family w:val="roman"/>
    <w:pitch w:val="variable"/>
  </w:font>
  <w:font w:name="Verdana">
    <w:charset w:val="00"/>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Cabealho"/>
      <w:jc w:val="right"/>
      <w:rPr/>
    </w:pPr>
    <w:r>
      <w:rPr/>
      <mc:AlternateContent>
        <mc:Choice Requires="wps">
          <w:drawing>
            <wp:anchor behindDoc="1" distT="0" distB="0" distL="0" distR="0" simplePos="0" locked="0" layoutInCell="1" allowOverlap="1" relativeHeight="2" wp14:anchorId="39B1F75A">
              <wp:simplePos x="0" y="0"/>
              <wp:positionH relativeFrom="column">
                <wp:posOffset>1762125</wp:posOffset>
              </wp:positionH>
              <wp:positionV relativeFrom="paragraph">
                <wp:posOffset>-200660</wp:posOffset>
              </wp:positionV>
              <wp:extent cx="3601085" cy="833755"/>
              <wp:effectExtent l="0" t="0" r="1270" b="0"/>
              <wp:wrapNone/>
              <wp:docPr id="2" name="Caixa de texto 1"/>
              <a:graphic xmlns:a="http://schemas.openxmlformats.org/drawingml/2006/main">
                <a:graphicData uri="http://schemas.microsoft.com/office/word/2010/wordprocessingShape">
                  <wps:wsp>
                    <wps:cNvSpPr/>
                    <wps:spPr>
                      <a:xfrm>
                        <a:off x="0" y="0"/>
                        <a:ext cx="3600360" cy="833040"/>
                      </a:xfrm>
                      <a:prstGeom prst="rect">
                        <a:avLst/>
                      </a:prstGeom>
                      <a:noFill/>
                      <a:ln>
                        <a:noFill/>
                      </a:ln>
                    </wps:spPr>
                    <wps:style>
                      <a:lnRef idx="0"/>
                      <a:fillRef idx="0"/>
                      <a:effectRef idx="0"/>
                      <a:fontRef idx="minor"/>
                    </wps:style>
                    <wps:txbx>
                      <w:txbxContent>
                        <w:p>
                          <w:pPr>
                            <w:pStyle w:val="Contedodoquadro"/>
                            <w:tabs>
                              <w:tab w:val="clear" w:pos="708"/>
                              <w:tab w:val="center" w:pos="4252" w:leader="none"/>
                              <w:tab w:val="center" w:pos="4419" w:leader="none"/>
                              <w:tab w:val="right" w:pos="8504" w:leader="none"/>
                              <w:tab w:val="right" w:pos="8838" w:leader="none"/>
                            </w:tabs>
                            <w:overflowPunct w:val="true"/>
                            <w:rPr>
                              <w:rFonts w:eastAsia="SimSun"/>
                              <w:b/>
                              <w:b/>
                              <w:bCs/>
                              <w:sz w:val="18"/>
                            </w:rPr>
                          </w:pPr>
                          <w:r>
                            <w:rPr>
                              <w:rFonts w:eastAsia="SimSun" w:cs="Mangal"/>
                              <w:b/>
                              <w:bCs/>
                              <w:sz w:val="18"/>
                              <w:szCs w:val="18"/>
                            </w:rPr>
                            <w:t xml:space="preserve"> </w:t>
                          </w:r>
                          <w:r>
                            <w:rPr>
                              <w:rFonts w:eastAsia="SimSun"/>
                              <w:b/>
                              <w:bCs/>
                              <w:sz w:val="18"/>
                            </w:rPr>
                            <w:t>MINISTÉRIO DA EDUCAÇÃO</w:t>
                          </w:r>
                        </w:p>
                        <w:p>
                          <w:pPr>
                            <w:pStyle w:val="Contedodoquadro"/>
                            <w:tabs>
                              <w:tab w:val="clear" w:pos="708"/>
                              <w:tab w:val="center" w:pos="4252" w:leader="none"/>
                              <w:tab w:val="center" w:pos="4419" w:leader="none"/>
                              <w:tab w:val="right" w:pos="8504" w:leader="none"/>
                              <w:tab w:val="right" w:pos="8838" w:leader="none"/>
                            </w:tabs>
                            <w:overflowPunct w:val="true"/>
                            <w:rPr>
                              <w:rFonts w:eastAsia="SimSun"/>
                              <w:b/>
                              <w:b/>
                              <w:bCs/>
                              <w:sz w:val="18"/>
                            </w:rPr>
                          </w:pPr>
                          <w:r>
                            <w:rPr>
                              <w:rFonts w:eastAsia="SimSun"/>
                              <w:b/>
                              <w:bCs/>
                              <w:sz w:val="18"/>
                            </w:rPr>
                            <w:t>SECRETARIA DE EDUCAÇÃO PROFISSIONAL E TECNOLÓGICA</w:t>
                          </w:r>
                        </w:p>
                        <w:p>
                          <w:pPr>
                            <w:pStyle w:val="Contedodoquadro"/>
                            <w:tabs>
                              <w:tab w:val="clear" w:pos="708"/>
                              <w:tab w:val="center" w:pos="4252" w:leader="none"/>
                              <w:tab w:val="center" w:pos="4419" w:leader="none"/>
                              <w:tab w:val="right" w:pos="8504" w:leader="none"/>
                              <w:tab w:val="right" w:pos="8838" w:leader="none"/>
                            </w:tabs>
                            <w:overflowPunct w:val="true"/>
                            <w:rPr>
                              <w:rFonts w:eastAsia="SimSun"/>
                              <w:b/>
                              <w:b/>
                              <w:bCs/>
                              <w:sz w:val="18"/>
                            </w:rPr>
                          </w:pPr>
                          <w:r>
                            <w:rPr>
                              <w:rFonts w:eastAsia="SimSun"/>
                              <w:b/>
                              <w:bCs/>
                              <w:sz w:val="18"/>
                            </w:rPr>
                            <w:t>INSTITUTO FEDERAL DE EDUCAÇÃO, CIÊNCIA E TECNOLOGIA PRÓ-REITORIA DE PESQUISA E PÓS-GRADUAÇÃO</w:t>
                          </w:r>
                        </w:p>
                        <w:p>
                          <w:pPr>
                            <w:pStyle w:val="Contedodoquadro"/>
                            <w:tabs>
                              <w:tab w:val="clear" w:pos="708"/>
                              <w:tab w:val="center" w:pos="4252" w:leader="none"/>
                              <w:tab w:val="center" w:pos="4419" w:leader="none"/>
                              <w:tab w:val="right" w:pos="8504" w:leader="none"/>
                              <w:tab w:val="right" w:pos="8838" w:leader="none"/>
                            </w:tabs>
                            <w:overflowPunct w:val="true"/>
                            <w:rPr>
                              <w:rFonts w:eastAsia="SimSun"/>
                              <w:b/>
                              <w:b/>
                              <w:bCs/>
                              <w:sz w:val="18"/>
                            </w:rPr>
                          </w:pPr>
                          <w:r>
                            <w:rPr>
                              <w:rFonts w:eastAsia="SimSun"/>
                              <w:b/>
                              <w:bCs/>
                              <w:sz w:val="18"/>
                            </w:rPr>
                            <w:t xml:space="preserve">SISTEMA  INTEGRADO DE BIBLIOTECAS </w:t>
                          </w:r>
                        </w:p>
                        <w:p>
                          <w:pPr>
                            <w:pStyle w:val="Contedodoquadro"/>
                            <w:overflowPunct w:val="true"/>
                            <w:rPr>
                              <w:rFonts w:ascii="Liberation Serif" w:hAnsi="Liberation Serif" w:eastAsia="SimSun" w:cs="Mangal"/>
                            </w:rPr>
                          </w:pPr>
                          <w:r>
                            <w:rPr>
                              <w:rFonts w:eastAsia="SimSun" w:cs="Mangal" w:ascii="Liberation Serif" w:hAnsi="Liberation Serif"/>
                            </w:rPr>
                          </w:r>
                        </w:p>
                      </w:txbxContent>
                    </wps:txbx>
                    <wps:bodyPr lIns="0" rIns="0" tIns="0" bIns="0">
                      <a:noAutofit/>
                    </wps:bodyPr>
                  </wps:wsp>
                </a:graphicData>
              </a:graphic>
            </wp:anchor>
          </w:drawing>
        </mc:Choice>
        <mc:Fallback>
          <w:pict>
            <v:rect id="shape_0" ID="Caixa de texto 1" stroked="f" style="position:absolute;margin-left:138.75pt;margin-top:-15.8pt;width:283.45pt;height:65.55pt" wp14:anchorId="39B1F75A">
              <w10:wrap type="square"/>
              <v:fill o:detectmouseclick="t" on="false"/>
              <v:stroke color="#3465a4" joinstyle="round" endcap="flat"/>
              <v:textbox>
                <w:txbxContent>
                  <w:p>
                    <w:pPr>
                      <w:pStyle w:val="Contedodoquadro"/>
                      <w:tabs>
                        <w:tab w:val="clear" w:pos="708"/>
                        <w:tab w:val="center" w:pos="4252" w:leader="none"/>
                        <w:tab w:val="center" w:pos="4419" w:leader="none"/>
                        <w:tab w:val="right" w:pos="8504" w:leader="none"/>
                        <w:tab w:val="right" w:pos="8838" w:leader="none"/>
                      </w:tabs>
                      <w:overflowPunct w:val="true"/>
                      <w:rPr>
                        <w:rFonts w:eastAsia="SimSun"/>
                        <w:b/>
                        <w:b/>
                        <w:bCs/>
                        <w:sz w:val="18"/>
                      </w:rPr>
                    </w:pPr>
                    <w:r>
                      <w:rPr>
                        <w:rFonts w:eastAsia="SimSun" w:cs="Mangal"/>
                        <w:b/>
                        <w:bCs/>
                        <w:sz w:val="18"/>
                        <w:szCs w:val="18"/>
                      </w:rPr>
                      <w:t xml:space="preserve"> </w:t>
                    </w:r>
                    <w:r>
                      <w:rPr>
                        <w:rFonts w:eastAsia="SimSun"/>
                        <w:b/>
                        <w:bCs/>
                        <w:sz w:val="18"/>
                      </w:rPr>
                      <w:t>MINISTÉRIO DA EDUCAÇÃO</w:t>
                    </w:r>
                  </w:p>
                  <w:p>
                    <w:pPr>
                      <w:pStyle w:val="Contedodoquadro"/>
                      <w:tabs>
                        <w:tab w:val="clear" w:pos="708"/>
                        <w:tab w:val="center" w:pos="4252" w:leader="none"/>
                        <w:tab w:val="center" w:pos="4419" w:leader="none"/>
                        <w:tab w:val="right" w:pos="8504" w:leader="none"/>
                        <w:tab w:val="right" w:pos="8838" w:leader="none"/>
                      </w:tabs>
                      <w:overflowPunct w:val="true"/>
                      <w:rPr>
                        <w:rFonts w:eastAsia="SimSun"/>
                        <w:b/>
                        <w:b/>
                        <w:bCs/>
                        <w:sz w:val="18"/>
                      </w:rPr>
                    </w:pPr>
                    <w:r>
                      <w:rPr>
                        <w:rFonts w:eastAsia="SimSun"/>
                        <w:b/>
                        <w:bCs/>
                        <w:sz w:val="18"/>
                      </w:rPr>
                      <w:t>SECRETARIA DE EDUCAÇÃO PROFISSIONAL E TECNOLÓGICA</w:t>
                    </w:r>
                  </w:p>
                  <w:p>
                    <w:pPr>
                      <w:pStyle w:val="Contedodoquadro"/>
                      <w:tabs>
                        <w:tab w:val="clear" w:pos="708"/>
                        <w:tab w:val="center" w:pos="4252" w:leader="none"/>
                        <w:tab w:val="center" w:pos="4419" w:leader="none"/>
                        <w:tab w:val="right" w:pos="8504" w:leader="none"/>
                        <w:tab w:val="right" w:pos="8838" w:leader="none"/>
                      </w:tabs>
                      <w:overflowPunct w:val="true"/>
                      <w:rPr>
                        <w:rFonts w:eastAsia="SimSun"/>
                        <w:b/>
                        <w:b/>
                        <w:bCs/>
                        <w:sz w:val="18"/>
                      </w:rPr>
                    </w:pPr>
                    <w:r>
                      <w:rPr>
                        <w:rFonts w:eastAsia="SimSun"/>
                        <w:b/>
                        <w:bCs/>
                        <w:sz w:val="18"/>
                      </w:rPr>
                      <w:t>INSTITUTO FEDERAL DE EDUCAÇÃO, CIÊNCIA E TECNOLOGIA PRÓ-REITORIA DE PESQUISA E PÓS-GRADUAÇÃO</w:t>
                    </w:r>
                  </w:p>
                  <w:p>
                    <w:pPr>
                      <w:pStyle w:val="Contedodoquadro"/>
                      <w:tabs>
                        <w:tab w:val="clear" w:pos="708"/>
                        <w:tab w:val="center" w:pos="4252" w:leader="none"/>
                        <w:tab w:val="center" w:pos="4419" w:leader="none"/>
                        <w:tab w:val="right" w:pos="8504" w:leader="none"/>
                        <w:tab w:val="right" w:pos="8838" w:leader="none"/>
                      </w:tabs>
                      <w:overflowPunct w:val="true"/>
                      <w:rPr>
                        <w:rFonts w:eastAsia="SimSun"/>
                        <w:b/>
                        <w:b/>
                        <w:bCs/>
                        <w:sz w:val="18"/>
                      </w:rPr>
                    </w:pPr>
                    <w:r>
                      <w:rPr>
                        <w:rFonts w:eastAsia="SimSun"/>
                        <w:b/>
                        <w:bCs/>
                        <w:sz w:val="18"/>
                      </w:rPr>
                      <w:t xml:space="preserve">SISTEMA  INTEGRADO DE BIBLIOTECAS </w:t>
                    </w:r>
                  </w:p>
                  <w:p>
                    <w:pPr>
                      <w:pStyle w:val="Contedodoquadro"/>
                      <w:overflowPunct w:val="true"/>
                      <w:rPr>
                        <w:rFonts w:ascii="Liberation Serif" w:hAnsi="Liberation Serif" w:eastAsia="SimSun" w:cs="Mangal"/>
                      </w:rPr>
                    </w:pPr>
                    <w:r>
                      <w:rPr>
                        <w:rFonts w:eastAsia="SimSun" w:cs="Mangal" w:ascii="Liberation Serif" w:hAnsi="Liberation Serif"/>
                      </w:rPr>
                    </w:r>
                  </w:p>
                </w:txbxContent>
              </v:textbox>
            </v:rect>
          </w:pict>
        </mc:Fallback>
      </mc:AlternateContent>
      <w:drawing>
        <wp:anchor behindDoc="1" distT="114300" distB="114300" distL="114300" distR="114300" simplePos="0" locked="0" layoutInCell="1" allowOverlap="1" relativeHeight="6">
          <wp:simplePos x="0" y="0"/>
          <wp:positionH relativeFrom="column">
            <wp:posOffset>-533400</wp:posOffset>
          </wp:positionH>
          <wp:positionV relativeFrom="paragraph">
            <wp:posOffset>-191135</wp:posOffset>
          </wp:positionV>
          <wp:extent cx="2024380" cy="680720"/>
          <wp:effectExtent l="0" t="0" r="0" b="0"/>
          <wp:wrapSquare wrapText="bothSides"/>
          <wp:docPr id="4" name="Imagem 152700207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m 1527002079" descr=""/>
                  <pic:cNvPicPr>
                    <a:picLocks noChangeAspect="1" noChangeArrowheads="1"/>
                  </pic:cNvPicPr>
                </pic:nvPicPr>
                <pic:blipFill>
                  <a:blip r:embed="rId1"/>
                  <a:srcRect l="-26" t="-77" r="-26" b="-77"/>
                  <a:stretch>
                    <a:fillRect/>
                  </a:stretch>
                </pic:blipFill>
                <pic:spPr bwMode="auto">
                  <a:xfrm>
                    <a:off x="0" y="0"/>
                    <a:ext cx="2024380" cy="680720"/>
                  </a:xfrm>
                  <a:prstGeom prst="rect">
                    <a:avLst/>
                  </a:prstGeom>
                </pic:spPr>
              </pic:pic>
            </a:graphicData>
          </a:graphic>
        </wp:anchor>
      </w:drawing>
    </w:r>
  </w:p>
  <w:p>
    <w:pPr>
      <w:pStyle w:val="Cabealho"/>
      <w:tabs>
        <w:tab w:val="clear" w:pos="4252"/>
        <w:tab w:val="clear" w:pos="8504"/>
        <w:tab w:val="left" w:pos="6870" w:leader="none"/>
      </w:tabs>
      <w:rPr/>
    </w:pPr>
    <w:r>
      <w:rPr/>
      <w:tab/>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Cabealho"/>
      <w:jc w:val="right"/>
      <w:rPr/>
    </w:pPr>
    <w:r>
      <w:rPr/>
    </w:r>
  </w:p>
  <w:p>
    <w:pPr>
      <w:pStyle w:val="Cabealho"/>
      <w:tabs>
        <w:tab w:val="clear" w:pos="4252"/>
        <w:tab w:val="clear" w:pos="8504"/>
        <w:tab w:val="left" w:pos="6870" w:leader="none"/>
      </w:tabs>
      <w:rPr/>
    </w:pPr>
    <w:r>
      <w:rPr/>
      <w:tab/>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Cabealho"/>
      <w:jc w:val="right"/>
      <w:rPr/>
    </w:pPr>
    <w:r>
      <w:rPr/>
    </w:r>
  </w:p>
  <w:p>
    <w:pPr>
      <w:pStyle w:val="Cabealho"/>
      <w:rPr/>
    </w:pPr>
    <w:r>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Cabealho"/>
      <w:jc w:val="right"/>
      <w:rPr/>
    </w:pPr>
    <w:r>
      <w:rPr/>
    </w:r>
  </w:p>
  <w:p>
    <w:pPr>
      <w:pStyle w:val="Cabealho"/>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Cabealho"/>
      <w:jc w:val="right"/>
      <w:rPr/>
    </w:pPr>
    <w:r>
      <w:rPr/>
    </w:r>
  </w:p>
  <w:p>
    <w:pPr>
      <w:pStyle w:val="Cabealho"/>
      <w:rPr/>
    </w:pPr>
    <w:r>
      <w:rPr/>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Top of Page)"/>
        <w:docPartUnique w:val="true"/>
      </w:docPartObj>
      <w:id w:val="911083223"/>
    </w:sdtPr>
    <w:sdtContent>
      <w:p>
        <w:pPr>
          <w:pStyle w:val="Cabealho"/>
          <w:jc w:val="right"/>
          <w:rPr>
            <w:sz w:val="20"/>
            <w:szCs w:val="20"/>
          </w:rPr>
        </w:pPr>
        <w:r>
          <w:rPr/>
          <w:fldChar w:fldCharType="begin"/>
        </w:r>
        <w:r>
          <w:rPr/>
          <w:instrText> PAGE </w:instrText>
        </w:r>
        <w:r>
          <w:rPr/>
          <w:fldChar w:fldCharType="separate"/>
        </w:r>
        <w:r>
          <w:rPr/>
          <w:t>116</w:t>
        </w:r>
        <w:r>
          <w:rPr/>
          <w:fldChar w:fldCharType="end"/>
        </w:r>
      </w:p>
    </w:sdtContent>
  </w:sdt>
  <w:p>
    <w:pPr>
      <w:pStyle w:val="Cabealho"/>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numPicBullet w:numPicBulletId="0">
    <w:pict>
      <v:shape style="width:0.75pt;height:2.25pt" o:bullet="t">
        <v:imagedata r:id="rId1" o:title=""/>
      </v:shape>
    </w:pict>
  </w:numPicBullet>
  <w:abstractNum w:abstractNumId="1">
    <w:lvl w:ilvl="0">
      <w:start w:val="1"/>
      <w:numFmt w:val="bullet"/>
      <w:lvlText w:val=""/>
      <w:lvlJc w:val="left"/>
      <w:pPr>
        <w:ind w:left="720" w:hanging="360"/>
      </w:pPr>
      <w:rPr>
        <w:rFonts w:ascii="Symbol" w:hAnsi="Symbol" w:cs="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lvl w:ilvl="0">
      <w:start w:val="1"/>
      <w:numFmt w:val="decimal"/>
      <w:lvlText w:val="%1"/>
      <w:lvlJc w:val="left"/>
      <w:pPr>
        <w:ind w:left="405" w:hanging="405"/>
      </w:pPr>
    </w:lvl>
    <w:lvl w:ilvl="1">
      <w:start w:val="1"/>
      <w:numFmt w:val="decimal"/>
      <w:lvlText w:val="%1.%2"/>
      <w:lvlJc w:val="left"/>
      <w:pPr>
        <w:ind w:left="405" w:hanging="405"/>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3">
    <w:lvl w:ilvl="0">
      <w:start w:val="1"/>
      <w:numFmt w:val="lowerRoman"/>
      <w:lvlText w:val="%1."/>
      <w:lvlJc w:val="right"/>
      <w:pPr>
        <w:ind w:left="720" w:hanging="360"/>
      </w:pPr>
      <w:rPr>
        <w:vertAlign w:val="baseline"/>
        <w:position w:val="0"/>
        <w:sz w:val="20"/>
        <w:sz w:val="20"/>
        <w:rFonts w:cs="Verdana"/>
      </w:rPr>
    </w:lvl>
    <w:lvl w:ilvl="1">
      <w:start w:val="1"/>
      <w:numFmt w:val="lowerLetter"/>
      <w:lvlText w:val="%2."/>
      <w:lvlJc w:val="left"/>
      <w:pPr>
        <w:ind w:left="1440" w:hanging="360"/>
      </w:pPr>
      <w:rPr>
        <w:vertAlign w:val="baseline"/>
        <w:position w:val="0"/>
        <w:sz w:val="24"/>
        <w:sz w:val="24"/>
      </w:rPr>
    </w:lvl>
    <w:lvl w:ilvl="2">
      <w:start w:val="1"/>
      <w:numFmt w:val="lowerRoman"/>
      <w:lvlText w:val="%3."/>
      <w:lvlJc w:val="right"/>
      <w:pPr>
        <w:ind w:left="2160" w:hanging="180"/>
      </w:pPr>
      <w:rPr>
        <w:vertAlign w:val="baseline"/>
        <w:position w:val="0"/>
        <w:sz w:val="24"/>
        <w:sz w:val="24"/>
      </w:rPr>
    </w:lvl>
    <w:lvl w:ilvl="3">
      <w:start w:val="1"/>
      <w:numFmt w:val="decimal"/>
      <w:lvlText w:val="%4."/>
      <w:lvlJc w:val="left"/>
      <w:pPr>
        <w:ind w:left="2880" w:hanging="360"/>
      </w:pPr>
      <w:rPr>
        <w:vertAlign w:val="baseline"/>
        <w:position w:val="0"/>
        <w:sz w:val="24"/>
        <w:sz w:val="24"/>
      </w:rPr>
    </w:lvl>
    <w:lvl w:ilvl="4">
      <w:start w:val="1"/>
      <w:numFmt w:val="lowerLetter"/>
      <w:lvlText w:val="%5."/>
      <w:lvlJc w:val="left"/>
      <w:pPr>
        <w:ind w:left="3600" w:hanging="360"/>
      </w:pPr>
      <w:rPr>
        <w:vertAlign w:val="baseline"/>
        <w:position w:val="0"/>
        <w:sz w:val="24"/>
        <w:sz w:val="24"/>
      </w:rPr>
    </w:lvl>
    <w:lvl w:ilvl="5">
      <w:start w:val="1"/>
      <w:numFmt w:val="lowerRoman"/>
      <w:lvlText w:val="%6."/>
      <w:lvlJc w:val="right"/>
      <w:pPr>
        <w:ind w:left="4320" w:hanging="180"/>
      </w:pPr>
      <w:rPr>
        <w:vertAlign w:val="baseline"/>
        <w:position w:val="0"/>
        <w:sz w:val="24"/>
        <w:sz w:val="24"/>
      </w:rPr>
    </w:lvl>
    <w:lvl w:ilvl="6">
      <w:start w:val="1"/>
      <w:numFmt w:val="decimal"/>
      <w:lvlText w:val="%7."/>
      <w:lvlJc w:val="left"/>
      <w:pPr>
        <w:ind w:left="5040" w:hanging="360"/>
      </w:pPr>
      <w:rPr>
        <w:vertAlign w:val="baseline"/>
        <w:position w:val="0"/>
        <w:sz w:val="24"/>
        <w:sz w:val="24"/>
      </w:rPr>
    </w:lvl>
    <w:lvl w:ilvl="7">
      <w:start w:val="1"/>
      <w:numFmt w:val="lowerLetter"/>
      <w:lvlText w:val="%8."/>
      <w:lvlJc w:val="left"/>
      <w:pPr>
        <w:ind w:left="5760" w:hanging="360"/>
      </w:pPr>
      <w:rPr>
        <w:vertAlign w:val="baseline"/>
        <w:position w:val="0"/>
        <w:sz w:val="24"/>
        <w:sz w:val="24"/>
      </w:rPr>
    </w:lvl>
    <w:lvl w:ilvl="8">
      <w:start w:val="1"/>
      <w:numFmt w:val="lowerRoman"/>
      <w:lvlText w:val="%9."/>
      <w:lvlJc w:val="right"/>
      <w:pPr>
        <w:ind w:left="6480" w:hanging="180"/>
      </w:pPr>
      <w:rPr>
        <w:vertAlign w:val="baseline"/>
        <w:position w:val="0"/>
        <w:sz w:val="24"/>
        <w:sz w:val="24"/>
      </w:rPr>
    </w:lvl>
  </w:abstractNum>
  <w:abstractNum w:abstractNumId="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00"/>
  <w:defaultTabStop w:val="708"/>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hyphenationZone w:val="425"/>
  <w:themeFontLang w:val="pt-B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pt-BR" w:eastAsia="en-US" w:bidi="ar-SA"/>
      </w:rPr>
    </w:rPrDefault>
    <w:pPrDefaul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c6478b"/>
    <w:pPr>
      <w:widowControl/>
      <w:bidi w:val="0"/>
      <w:spacing w:lineRule="auto" w:line="240" w:before="0" w:after="0"/>
      <w:jc w:val="both"/>
    </w:pPr>
    <w:rPr>
      <w:rFonts w:ascii="Arial" w:hAnsi="Arial" w:eastAsia="Calibri" w:cs="" w:cstheme="minorBidi" w:eastAsiaTheme="minorHAnsi"/>
      <w:color w:val="auto"/>
      <w:kern w:val="0"/>
      <w:sz w:val="24"/>
      <w:szCs w:val="22"/>
      <w:lang w:val="pt-BR" w:eastAsia="en-US" w:bidi="ar-SA"/>
    </w:rPr>
  </w:style>
  <w:style w:type="paragraph" w:styleId="Ttulo1">
    <w:name w:val="Heading 1"/>
    <w:basedOn w:val="Normal"/>
    <w:link w:val="Ttulo1Char"/>
    <w:uiPriority w:val="9"/>
    <w:qFormat/>
    <w:rsid w:val="00123479"/>
    <w:pPr>
      <w:keepNext w:val="true"/>
      <w:keepLines/>
      <w:spacing w:lineRule="auto" w:line="360" w:before="240" w:after="240"/>
      <w:jc w:val="left"/>
      <w:outlineLvl w:val="0"/>
    </w:pPr>
    <w:rPr>
      <w:rFonts w:eastAsia="" w:cs="" w:cstheme="majorBidi" w:eastAsiaTheme="majorEastAsia"/>
      <w:b/>
      <w:szCs w:val="32"/>
    </w:rPr>
  </w:style>
  <w:style w:type="paragraph" w:styleId="Ttulo2">
    <w:name w:val="Heading 2"/>
    <w:basedOn w:val="Ttulo1"/>
    <w:link w:val="Ttulo2Char"/>
    <w:uiPriority w:val="9"/>
    <w:unhideWhenUsed/>
    <w:qFormat/>
    <w:rsid w:val="00123479"/>
    <w:pPr>
      <w:outlineLvl w:val="1"/>
    </w:pPr>
    <w:rPr>
      <w:szCs w:val="26"/>
    </w:rPr>
  </w:style>
  <w:style w:type="paragraph" w:styleId="Ttulo3">
    <w:name w:val="Heading 3"/>
    <w:basedOn w:val="Ttulo2"/>
    <w:link w:val="Ttulo3Char"/>
    <w:uiPriority w:val="9"/>
    <w:unhideWhenUsed/>
    <w:qFormat/>
    <w:rsid w:val="00123479"/>
    <w:pPr>
      <w:outlineLvl w:val="2"/>
    </w:pPr>
    <w:rPr>
      <w:b w:val="false"/>
      <w:szCs w:val="24"/>
    </w:rPr>
  </w:style>
  <w:style w:type="paragraph" w:styleId="Ttulo4">
    <w:name w:val="Heading 4"/>
    <w:basedOn w:val="Normal"/>
    <w:next w:val="Normal"/>
    <w:link w:val="Ttulo4Char"/>
    <w:uiPriority w:val="9"/>
    <w:unhideWhenUsed/>
    <w:qFormat/>
    <w:rsid w:val="00dd5474"/>
    <w:pPr>
      <w:keepNext w:val="true"/>
      <w:keepLines/>
      <w:spacing w:lineRule="auto" w:line="360" w:before="240" w:after="240"/>
      <w:jc w:val="left"/>
      <w:outlineLvl w:val="3"/>
    </w:pPr>
    <w:rPr>
      <w:rFonts w:eastAsia="" w:cs="" w:cstheme="majorBidi" w:eastAsiaTheme="majorEastAsia"/>
      <w:iCs/>
    </w:rPr>
  </w:style>
  <w:style w:type="character" w:styleId="DefaultParagraphFont" w:default="1">
    <w:name w:val="Default Paragraph Font"/>
    <w:uiPriority w:val="1"/>
    <w:semiHidden/>
    <w:unhideWhenUsed/>
    <w:qFormat/>
    <w:rPr/>
  </w:style>
  <w:style w:type="character" w:styleId="CabealhoChar" w:customStyle="1">
    <w:name w:val="Cabeçalho Char"/>
    <w:basedOn w:val="DefaultParagraphFont"/>
    <w:link w:val="Cabealho"/>
    <w:uiPriority w:val="99"/>
    <w:qFormat/>
    <w:rsid w:val="00b9765e"/>
    <w:rPr>
      <w:rFonts w:ascii="Arial" w:hAnsi="Arial"/>
      <w:sz w:val="24"/>
    </w:rPr>
  </w:style>
  <w:style w:type="character" w:styleId="RodapChar" w:customStyle="1">
    <w:name w:val="Rodapé Char"/>
    <w:basedOn w:val="DefaultParagraphFont"/>
    <w:link w:val="Rodap"/>
    <w:uiPriority w:val="99"/>
    <w:qFormat/>
    <w:rsid w:val="00b9765e"/>
    <w:rPr>
      <w:rFonts w:ascii="Arial" w:hAnsi="Arial"/>
      <w:sz w:val="24"/>
    </w:rPr>
  </w:style>
  <w:style w:type="character" w:styleId="Ttulo1Char" w:customStyle="1">
    <w:name w:val="Título 1 Char"/>
    <w:basedOn w:val="DefaultParagraphFont"/>
    <w:link w:val="Ttulo1"/>
    <w:uiPriority w:val="9"/>
    <w:qFormat/>
    <w:rsid w:val="00123479"/>
    <w:rPr>
      <w:rFonts w:ascii="Arial" w:hAnsi="Arial" w:eastAsia="" w:cs="" w:cstheme="majorBidi" w:eastAsiaTheme="majorEastAsia"/>
      <w:b/>
      <w:sz w:val="24"/>
      <w:szCs w:val="32"/>
    </w:rPr>
  </w:style>
  <w:style w:type="character" w:styleId="Ttulo2Char" w:customStyle="1">
    <w:name w:val="Título 2 Char"/>
    <w:basedOn w:val="DefaultParagraphFont"/>
    <w:link w:val="Ttulo2"/>
    <w:uiPriority w:val="9"/>
    <w:qFormat/>
    <w:rsid w:val="00123479"/>
    <w:rPr>
      <w:rFonts w:ascii="Arial" w:hAnsi="Arial" w:eastAsia="" w:cs="" w:cstheme="majorBidi" w:eastAsiaTheme="majorEastAsia"/>
      <w:b/>
      <w:sz w:val="24"/>
      <w:szCs w:val="26"/>
    </w:rPr>
  </w:style>
  <w:style w:type="character" w:styleId="Ttulo3Char" w:customStyle="1">
    <w:name w:val="Título 3 Char"/>
    <w:basedOn w:val="DefaultParagraphFont"/>
    <w:link w:val="Ttulo3"/>
    <w:uiPriority w:val="9"/>
    <w:qFormat/>
    <w:rsid w:val="00123479"/>
    <w:rPr>
      <w:rFonts w:ascii="Arial" w:hAnsi="Arial" w:eastAsia="" w:cs="" w:cstheme="majorBidi" w:eastAsiaTheme="majorEastAsia"/>
      <w:sz w:val="24"/>
      <w:szCs w:val="24"/>
    </w:rPr>
  </w:style>
  <w:style w:type="character" w:styleId="CitaoChar" w:customStyle="1">
    <w:name w:val="Citação Char"/>
    <w:basedOn w:val="DefaultParagraphFont"/>
    <w:link w:val="Citao"/>
    <w:uiPriority w:val="29"/>
    <w:qFormat/>
    <w:rsid w:val="00302e56"/>
    <w:rPr>
      <w:rFonts w:ascii="Arial" w:hAnsi="Arial"/>
      <w:iCs/>
      <w:sz w:val="20"/>
    </w:rPr>
  </w:style>
  <w:style w:type="character" w:styleId="LinkdaInternet">
    <w:name w:val="Link da Internet"/>
    <w:basedOn w:val="DefaultParagraphFont"/>
    <w:uiPriority w:val="99"/>
    <w:unhideWhenUsed/>
    <w:rsid w:val="00a777fc"/>
    <w:rPr>
      <w:color w:val="0563C1" w:themeColor="hyperlink"/>
      <w:u w:val="single"/>
    </w:rPr>
  </w:style>
  <w:style w:type="character" w:styleId="UnresolvedMention">
    <w:name w:val="Unresolved Mention"/>
    <w:basedOn w:val="DefaultParagraphFont"/>
    <w:uiPriority w:val="99"/>
    <w:semiHidden/>
    <w:unhideWhenUsed/>
    <w:qFormat/>
    <w:rsid w:val="00a777fc"/>
    <w:rPr>
      <w:color w:val="605E5C"/>
      <w:shd w:fill="E1DFDD" w:val="clear"/>
    </w:rPr>
  </w:style>
  <w:style w:type="character" w:styleId="TtuloChar" w:customStyle="1">
    <w:name w:val="Título Char"/>
    <w:basedOn w:val="DefaultParagraphFont"/>
    <w:link w:val="Ttulo"/>
    <w:uiPriority w:val="10"/>
    <w:qFormat/>
    <w:rsid w:val="00a777fc"/>
    <w:rPr>
      <w:rFonts w:ascii="Arial" w:hAnsi="Arial" w:eastAsia="" w:cs="" w:cstheme="majorBidi" w:eastAsiaTheme="majorEastAsia"/>
      <w:spacing w:val="-10"/>
      <w:kern w:val="2"/>
      <w:sz w:val="24"/>
      <w:szCs w:val="56"/>
    </w:rPr>
  </w:style>
  <w:style w:type="character" w:styleId="CitaoIntensaChar" w:customStyle="1">
    <w:name w:val="Citação Intensa Char"/>
    <w:basedOn w:val="DefaultParagraphFont"/>
    <w:link w:val="CitaoIntensa"/>
    <w:uiPriority w:val="30"/>
    <w:qFormat/>
    <w:rsid w:val="007b705e"/>
    <w:rPr>
      <w:rFonts w:ascii="Arial" w:hAnsi="Arial"/>
      <w:iCs/>
      <w:sz w:val="24"/>
    </w:rPr>
  </w:style>
  <w:style w:type="character" w:styleId="SubtleReference">
    <w:name w:val="Subtle Reference"/>
    <w:basedOn w:val="DefaultParagraphFont"/>
    <w:uiPriority w:val="31"/>
    <w:qFormat/>
    <w:rsid w:val="007b705e"/>
    <w:rPr>
      <w:smallCaps/>
      <w:color w:val="5A5A5A" w:themeColor="text1" w:themeTint="a5"/>
    </w:rPr>
  </w:style>
  <w:style w:type="character" w:styleId="SubtleEmphasis">
    <w:name w:val="Subtle Emphasis"/>
    <w:basedOn w:val="DefaultParagraphFont"/>
    <w:uiPriority w:val="19"/>
    <w:qFormat/>
    <w:rsid w:val="007b705e"/>
    <w:rPr>
      <w:i/>
      <w:iCs/>
      <w:color w:val="404040" w:themeColor="text1" w:themeTint="bf"/>
    </w:rPr>
  </w:style>
  <w:style w:type="character" w:styleId="Annotationreference">
    <w:name w:val="annotation reference"/>
    <w:basedOn w:val="DefaultParagraphFont"/>
    <w:uiPriority w:val="99"/>
    <w:semiHidden/>
    <w:unhideWhenUsed/>
    <w:qFormat/>
    <w:rsid w:val="0036612a"/>
    <w:rPr>
      <w:sz w:val="16"/>
      <w:szCs w:val="16"/>
    </w:rPr>
  </w:style>
  <w:style w:type="character" w:styleId="TextodecomentrioChar" w:customStyle="1">
    <w:name w:val="Texto de comentário Char"/>
    <w:basedOn w:val="DefaultParagraphFont"/>
    <w:link w:val="Textodecomentrio"/>
    <w:uiPriority w:val="99"/>
    <w:qFormat/>
    <w:rsid w:val="0036612a"/>
    <w:rPr>
      <w:rFonts w:ascii="Arial" w:hAnsi="Arial"/>
      <w:sz w:val="20"/>
      <w:szCs w:val="20"/>
    </w:rPr>
  </w:style>
  <w:style w:type="character" w:styleId="AssuntodocomentrioChar" w:customStyle="1">
    <w:name w:val="Assunto do comentário Char"/>
    <w:basedOn w:val="TextodecomentrioChar"/>
    <w:link w:val="Assuntodocomentrio"/>
    <w:uiPriority w:val="99"/>
    <w:semiHidden/>
    <w:qFormat/>
    <w:rsid w:val="0036612a"/>
    <w:rPr>
      <w:rFonts w:ascii="Arial" w:hAnsi="Arial"/>
      <w:b/>
      <w:bCs/>
      <w:sz w:val="20"/>
      <w:szCs w:val="20"/>
    </w:rPr>
  </w:style>
  <w:style w:type="character" w:styleId="PlaceholderText">
    <w:name w:val="Placeholder Text"/>
    <w:basedOn w:val="DefaultParagraphFont"/>
    <w:uiPriority w:val="99"/>
    <w:semiHidden/>
    <w:qFormat/>
    <w:rsid w:val="006b7e89"/>
    <w:rPr>
      <w:color w:val="808080"/>
    </w:rPr>
  </w:style>
  <w:style w:type="character" w:styleId="TextodebaloChar" w:customStyle="1">
    <w:name w:val="Texto de balão Char"/>
    <w:basedOn w:val="DefaultParagraphFont"/>
    <w:link w:val="Textodebalo"/>
    <w:uiPriority w:val="99"/>
    <w:semiHidden/>
    <w:qFormat/>
    <w:rsid w:val="00f03b12"/>
    <w:rPr>
      <w:rFonts w:ascii="Segoe UI" w:hAnsi="Segoe UI" w:cs="Segoe UI"/>
      <w:sz w:val="18"/>
      <w:szCs w:val="18"/>
    </w:rPr>
  </w:style>
  <w:style w:type="character" w:styleId="Ttulo4Char" w:customStyle="1">
    <w:name w:val="Título 4 Char"/>
    <w:basedOn w:val="DefaultParagraphFont"/>
    <w:link w:val="Ttulo4"/>
    <w:uiPriority w:val="9"/>
    <w:qFormat/>
    <w:rsid w:val="00dd5474"/>
    <w:rPr>
      <w:rFonts w:ascii="Arial" w:hAnsi="Arial" w:eastAsia="" w:cs="" w:cstheme="majorBidi" w:eastAsiaTheme="majorEastAsia"/>
      <w:iCs/>
      <w:sz w:val="24"/>
    </w:rPr>
  </w:style>
  <w:style w:type="character" w:styleId="LegendaChar" w:customStyle="1">
    <w:name w:val="Legenda Char"/>
    <w:basedOn w:val="DefaultParagraphFont"/>
    <w:link w:val="Legenda"/>
    <w:qFormat/>
    <w:rsid w:val="000162fe"/>
    <w:rPr>
      <w:rFonts w:ascii="Arial" w:hAnsi="Arial"/>
      <w:i/>
      <w:iCs/>
      <w:color w:val="44546A" w:themeColor="text2"/>
      <w:sz w:val="18"/>
      <w:szCs w:val="18"/>
    </w:rPr>
  </w:style>
  <w:style w:type="character" w:styleId="BookTitle">
    <w:name w:val="Book Title"/>
    <w:basedOn w:val="DefaultParagraphFont"/>
    <w:uiPriority w:val="33"/>
    <w:qFormat/>
    <w:rsid w:val="0036300f"/>
    <w:rPr>
      <w:b/>
      <w:bCs/>
      <w:i/>
      <w:iCs/>
      <w:spacing w:val="5"/>
    </w:rPr>
  </w:style>
  <w:style w:type="character" w:styleId="Nfase">
    <w:name w:val="Ênfase"/>
    <w:basedOn w:val="DefaultParagraphFont"/>
    <w:uiPriority w:val="20"/>
    <w:qFormat/>
    <w:rsid w:val="00691590"/>
    <w:rPr>
      <w:i/>
      <w:iCs/>
    </w:rPr>
  </w:style>
  <w:style w:type="character" w:styleId="CorpodetextoChar" w:customStyle="1">
    <w:name w:val="Corpo de texto Char"/>
    <w:basedOn w:val="DefaultParagraphFont"/>
    <w:link w:val="Corpodetexto"/>
    <w:qFormat/>
    <w:rsid w:val="009d57e9"/>
    <w:rPr>
      <w:rFonts w:ascii="Times New Roman" w:hAnsi="Times New Roman" w:eastAsia="Times New Roman" w:cs="Times New Roman"/>
      <w:sz w:val="24"/>
      <w:szCs w:val="20"/>
      <w:lang w:eastAsia="zh-CN"/>
    </w:rPr>
  </w:style>
  <w:style w:type="character" w:styleId="Vnculodendice">
    <w:name w:val="Vínculo de índice"/>
    <w:qFormat/>
    <w:rPr/>
  </w:style>
  <w:style w:type="paragraph" w:styleId="Ttulo">
    <w:name w:val="Título"/>
    <w:basedOn w:val="Normal"/>
    <w:next w:val="Corpodotexto"/>
    <w:qFormat/>
    <w:pPr>
      <w:keepNext w:val="true"/>
      <w:spacing w:before="240" w:after="120"/>
    </w:pPr>
    <w:rPr>
      <w:rFonts w:ascii="Liberation Sans" w:hAnsi="Liberation Sans" w:eastAsia="Microsoft YaHei" w:cs="Arial"/>
      <w:sz w:val="28"/>
      <w:szCs w:val="28"/>
    </w:rPr>
  </w:style>
  <w:style w:type="paragraph" w:styleId="Corpodotexto">
    <w:name w:val="Body Text"/>
    <w:basedOn w:val="Normal"/>
    <w:link w:val="CorpodetextoChar"/>
    <w:rsid w:val="009d57e9"/>
    <w:pPr>
      <w:suppressAutoHyphens w:val="true"/>
      <w:jc w:val="left"/>
    </w:pPr>
    <w:rPr>
      <w:rFonts w:ascii="Times New Roman" w:hAnsi="Times New Roman" w:eastAsia="Times New Roman" w:cs="Times New Roman"/>
      <w:szCs w:val="20"/>
      <w:lang w:eastAsia="zh-CN"/>
    </w:rPr>
  </w:style>
  <w:style w:type="paragraph" w:styleId="Lista">
    <w:name w:val="List"/>
    <w:basedOn w:val="Corpodotexto"/>
    <w:pPr/>
    <w:rPr>
      <w:rFonts w:cs="Arial"/>
    </w:rPr>
  </w:style>
  <w:style w:type="paragraph" w:styleId="Legenda">
    <w:name w:val="Caption"/>
    <w:basedOn w:val="Normal"/>
    <w:qFormat/>
    <w:pPr>
      <w:suppressLineNumbers/>
      <w:spacing w:before="120" w:after="120"/>
    </w:pPr>
    <w:rPr>
      <w:rFonts w:cs="Arial"/>
      <w:i/>
      <w:iCs/>
      <w:sz w:val="24"/>
      <w:szCs w:val="24"/>
    </w:rPr>
  </w:style>
  <w:style w:type="paragraph" w:styleId="Ndice">
    <w:name w:val="Índice"/>
    <w:basedOn w:val="Normal"/>
    <w:qFormat/>
    <w:pPr>
      <w:suppressLineNumbers/>
    </w:pPr>
    <w:rPr>
      <w:rFonts w:cs="Arial"/>
    </w:rPr>
  </w:style>
  <w:style w:type="paragraph" w:styleId="CabealhoeRodap">
    <w:name w:val="Cabeçalho e Rodapé"/>
    <w:basedOn w:val="Normal"/>
    <w:qFormat/>
    <w:pPr/>
    <w:rPr/>
  </w:style>
  <w:style w:type="paragraph" w:styleId="Cabealho">
    <w:name w:val="Header"/>
    <w:basedOn w:val="Normal"/>
    <w:link w:val="CabealhoChar"/>
    <w:uiPriority w:val="99"/>
    <w:unhideWhenUsed/>
    <w:rsid w:val="00b9765e"/>
    <w:pPr>
      <w:tabs>
        <w:tab w:val="clear" w:pos="708"/>
        <w:tab w:val="center" w:pos="4252" w:leader="none"/>
        <w:tab w:val="right" w:pos="8504" w:leader="none"/>
      </w:tabs>
    </w:pPr>
    <w:rPr/>
  </w:style>
  <w:style w:type="paragraph" w:styleId="Rodap">
    <w:name w:val="Footer"/>
    <w:basedOn w:val="Normal"/>
    <w:link w:val="RodapChar"/>
    <w:uiPriority w:val="99"/>
    <w:unhideWhenUsed/>
    <w:rsid w:val="00b9765e"/>
    <w:pPr>
      <w:tabs>
        <w:tab w:val="clear" w:pos="708"/>
        <w:tab w:val="center" w:pos="4252" w:leader="none"/>
        <w:tab w:val="right" w:pos="8504" w:leader="none"/>
      </w:tabs>
    </w:pPr>
    <w:rPr/>
  </w:style>
  <w:style w:type="paragraph" w:styleId="ListParagraph">
    <w:name w:val="List Paragraph"/>
    <w:basedOn w:val="Normal"/>
    <w:uiPriority w:val="34"/>
    <w:qFormat/>
    <w:rsid w:val="00123479"/>
    <w:pPr>
      <w:spacing w:lineRule="auto" w:line="360" w:before="0" w:after="0"/>
      <w:ind w:firstLine="709"/>
      <w:contextualSpacing/>
    </w:pPr>
    <w:rPr/>
  </w:style>
  <w:style w:type="paragraph" w:styleId="NoSpacing">
    <w:name w:val="No Spacing"/>
    <w:uiPriority w:val="1"/>
    <w:qFormat/>
    <w:rsid w:val="00df25c1"/>
    <w:pPr>
      <w:widowControl/>
      <w:bidi w:val="0"/>
      <w:spacing w:lineRule="auto" w:line="240" w:before="0" w:after="0"/>
      <w:jc w:val="both"/>
    </w:pPr>
    <w:rPr>
      <w:rFonts w:ascii="Arial" w:hAnsi="Arial" w:eastAsia="Calibri" w:cs="" w:cstheme="minorBidi" w:eastAsiaTheme="minorHAnsi"/>
      <w:color w:val="auto"/>
      <w:kern w:val="0"/>
      <w:sz w:val="24"/>
      <w:szCs w:val="22"/>
      <w:lang w:val="pt-BR" w:eastAsia="en-US" w:bidi="ar-SA"/>
    </w:rPr>
  </w:style>
  <w:style w:type="paragraph" w:styleId="Quote">
    <w:name w:val="Quote"/>
    <w:basedOn w:val="ListParagraph"/>
    <w:link w:val="CitaoChar"/>
    <w:uiPriority w:val="29"/>
    <w:qFormat/>
    <w:rsid w:val="00302e56"/>
    <w:pPr>
      <w:ind w:left="2268" w:hanging="0"/>
    </w:pPr>
    <w:rPr>
      <w:iCs/>
      <w:sz w:val="20"/>
    </w:rPr>
  </w:style>
  <w:style w:type="paragraph" w:styleId="Ttulododocumento">
    <w:name w:val="Title"/>
    <w:basedOn w:val="Normal"/>
    <w:next w:val="Normal"/>
    <w:link w:val="TtuloChar"/>
    <w:uiPriority w:val="10"/>
    <w:qFormat/>
    <w:rsid w:val="00a777fc"/>
    <w:pPr>
      <w:spacing w:before="0" w:after="0"/>
      <w:contextualSpacing/>
    </w:pPr>
    <w:rPr>
      <w:rFonts w:eastAsia="" w:cs="" w:cstheme="majorBidi" w:eastAsiaTheme="majorEastAsia"/>
      <w:spacing w:val="-10"/>
      <w:kern w:val="2"/>
      <w:szCs w:val="56"/>
    </w:rPr>
  </w:style>
  <w:style w:type="paragraph" w:styleId="IntenseQuote">
    <w:name w:val="Intense Quote"/>
    <w:basedOn w:val="Normal"/>
    <w:next w:val="Normal"/>
    <w:link w:val="CitaoIntensaChar"/>
    <w:uiPriority w:val="30"/>
    <w:qFormat/>
    <w:rsid w:val="007b705e"/>
    <w:pPr>
      <w:widowControl w:val="false"/>
      <w:pBdr>
        <w:top w:val="single" w:sz="4" w:space="10" w:color="4472C4"/>
        <w:bottom w:val="single" w:sz="4" w:space="10" w:color="4472C4"/>
      </w:pBdr>
      <w:spacing w:lineRule="auto" w:line="360"/>
    </w:pPr>
    <w:rPr>
      <w:iCs/>
    </w:rPr>
  </w:style>
  <w:style w:type="paragraph" w:styleId="Annotationtext">
    <w:name w:val="annotation text"/>
    <w:basedOn w:val="Normal"/>
    <w:link w:val="TextodecomentrioChar"/>
    <w:uiPriority w:val="99"/>
    <w:unhideWhenUsed/>
    <w:qFormat/>
    <w:rsid w:val="0036612a"/>
    <w:pPr/>
    <w:rPr>
      <w:sz w:val="20"/>
      <w:szCs w:val="20"/>
    </w:rPr>
  </w:style>
  <w:style w:type="paragraph" w:styleId="Annotationsubject">
    <w:name w:val="annotation subject"/>
    <w:basedOn w:val="Annotationtext"/>
    <w:next w:val="Annotationtext"/>
    <w:link w:val="AssuntodocomentrioChar"/>
    <w:uiPriority w:val="99"/>
    <w:semiHidden/>
    <w:unhideWhenUsed/>
    <w:qFormat/>
    <w:rsid w:val="0036612a"/>
    <w:pPr/>
    <w:rPr>
      <w:b/>
      <w:bCs/>
    </w:rPr>
  </w:style>
  <w:style w:type="paragraph" w:styleId="Caption">
    <w:name w:val="caption"/>
    <w:basedOn w:val="Normal"/>
    <w:next w:val="Normal"/>
    <w:link w:val="LegendaChar"/>
    <w:unhideWhenUsed/>
    <w:qFormat/>
    <w:rsid w:val="00645438"/>
    <w:pPr>
      <w:spacing w:before="0" w:after="200"/>
    </w:pPr>
    <w:rPr>
      <w:i/>
      <w:iCs/>
      <w:color w:val="44546A" w:themeColor="text2"/>
      <w:sz w:val="18"/>
      <w:szCs w:val="18"/>
    </w:rPr>
  </w:style>
  <w:style w:type="paragraph" w:styleId="EstiloLegenda" w:customStyle="1">
    <w:name w:val="Estilo Legenda"/>
    <w:basedOn w:val="Caption"/>
    <w:qFormat/>
    <w:rsid w:val="005668df"/>
    <w:pPr>
      <w:spacing w:before="0" w:after="0"/>
      <w:jc w:val="center"/>
    </w:pPr>
    <w:rPr>
      <w:rFonts w:eastAsia="Times New Roman" w:cs="Times New Roman"/>
      <w:i w:val="false"/>
      <w:color w:val="auto"/>
      <w:sz w:val="20"/>
      <w:szCs w:val="20"/>
    </w:rPr>
  </w:style>
  <w:style w:type="paragraph" w:styleId="Revision">
    <w:name w:val="Revision"/>
    <w:uiPriority w:val="99"/>
    <w:semiHidden/>
    <w:qFormat/>
    <w:rsid w:val="002a4c21"/>
    <w:pPr>
      <w:widowControl/>
      <w:bidi w:val="0"/>
      <w:spacing w:lineRule="auto" w:line="240" w:before="0" w:after="0"/>
      <w:jc w:val="left"/>
    </w:pPr>
    <w:rPr>
      <w:rFonts w:ascii="Arial" w:hAnsi="Arial" w:eastAsia="Calibri" w:cs="" w:cstheme="minorBidi" w:eastAsiaTheme="minorHAnsi"/>
      <w:color w:val="auto"/>
      <w:kern w:val="0"/>
      <w:sz w:val="24"/>
      <w:szCs w:val="22"/>
      <w:lang w:val="pt-BR" w:eastAsia="en-US" w:bidi="ar-SA"/>
    </w:rPr>
  </w:style>
  <w:style w:type="paragraph" w:styleId="BalloonText">
    <w:name w:val="Balloon Text"/>
    <w:basedOn w:val="Normal"/>
    <w:link w:val="TextodebaloChar"/>
    <w:uiPriority w:val="99"/>
    <w:semiHidden/>
    <w:unhideWhenUsed/>
    <w:qFormat/>
    <w:rsid w:val="00f03b12"/>
    <w:pPr/>
    <w:rPr>
      <w:rFonts w:ascii="Segoe UI" w:hAnsi="Segoe UI" w:cs="Segoe UI"/>
      <w:sz w:val="18"/>
      <w:szCs w:val="18"/>
    </w:rPr>
  </w:style>
  <w:style w:type="paragraph" w:styleId="TOCHeading">
    <w:name w:val="TOC Heading"/>
    <w:basedOn w:val="Ttulo1"/>
    <w:next w:val="Normal"/>
    <w:uiPriority w:val="39"/>
    <w:unhideWhenUsed/>
    <w:qFormat/>
    <w:rsid w:val="003702ec"/>
    <w:pPr>
      <w:spacing w:lineRule="auto" w:line="259" w:before="240" w:after="0"/>
    </w:pPr>
    <w:rPr>
      <w:rFonts w:ascii="Calibri Light" w:hAnsi="Calibri Light" w:asciiTheme="majorHAnsi" w:hAnsiTheme="majorHAnsi"/>
      <w:b w:val="false"/>
      <w:color w:val="2F5496" w:themeColor="accent1" w:themeShade="bf"/>
      <w:sz w:val="32"/>
      <w:lang w:eastAsia="pt-BR"/>
    </w:rPr>
  </w:style>
  <w:style w:type="paragraph" w:styleId="Sumrio1">
    <w:name w:val="TOC 1"/>
    <w:basedOn w:val="Normal"/>
    <w:next w:val="Normal"/>
    <w:autoRedefine/>
    <w:uiPriority w:val="39"/>
    <w:unhideWhenUsed/>
    <w:rsid w:val="00f51ea4"/>
    <w:pPr>
      <w:tabs>
        <w:tab w:val="clear" w:pos="708"/>
        <w:tab w:val="right" w:pos="9061" w:leader="dot"/>
      </w:tabs>
      <w:spacing w:before="0" w:after="100"/>
    </w:pPr>
    <w:rPr>
      <w:b/>
    </w:rPr>
  </w:style>
  <w:style w:type="paragraph" w:styleId="Sumrio2">
    <w:name w:val="TOC 2"/>
    <w:basedOn w:val="Normal"/>
    <w:next w:val="Normal"/>
    <w:autoRedefine/>
    <w:uiPriority w:val="39"/>
    <w:unhideWhenUsed/>
    <w:rsid w:val="00ca6ac9"/>
    <w:pPr>
      <w:spacing w:before="0" w:after="100"/>
      <w:ind w:left="240" w:hanging="0"/>
    </w:pPr>
    <w:rPr>
      <w:b/>
    </w:rPr>
  </w:style>
  <w:style w:type="paragraph" w:styleId="Sumrio3">
    <w:name w:val="TOC 3"/>
    <w:basedOn w:val="Normal"/>
    <w:next w:val="Normal"/>
    <w:autoRedefine/>
    <w:uiPriority w:val="39"/>
    <w:unhideWhenUsed/>
    <w:rsid w:val="003702ec"/>
    <w:pPr>
      <w:spacing w:before="0" w:after="100"/>
      <w:ind w:left="480" w:hanging="0"/>
    </w:pPr>
    <w:rPr/>
  </w:style>
  <w:style w:type="paragraph" w:styleId="Sumrio4">
    <w:name w:val="TOC 4"/>
    <w:basedOn w:val="Normal"/>
    <w:next w:val="Normal"/>
    <w:autoRedefine/>
    <w:uiPriority w:val="39"/>
    <w:unhideWhenUsed/>
    <w:rsid w:val="00ce217c"/>
    <w:pPr>
      <w:spacing w:before="0" w:after="100"/>
      <w:ind w:left="720" w:hanging="0"/>
    </w:pPr>
    <w:rPr/>
  </w:style>
  <w:style w:type="paragraph" w:styleId="Tableoffigures">
    <w:name w:val="table of figures"/>
    <w:basedOn w:val="Normal"/>
    <w:next w:val="Normal"/>
    <w:uiPriority w:val="99"/>
    <w:unhideWhenUsed/>
    <w:qFormat/>
    <w:rsid w:val="00a60475"/>
    <w:pPr>
      <w:spacing w:lineRule="auto" w:line="360"/>
    </w:pPr>
    <w:rPr/>
  </w:style>
  <w:style w:type="paragraph" w:styleId="NormalWeb">
    <w:name w:val="Normal (Web)"/>
    <w:basedOn w:val="Normal"/>
    <w:uiPriority w:val="99"/>
    <w:semiHidden/>
    <w:unhideWhenUsed/>
    <w:qFormat/>
    <w:rsid w:val="00f5286a"/>
    <w:pPr>
      <w:spacing w:beforeAutospacing="1" w:afterAutospacing="1"/>
      <w:jc w:val="left"/>
    </w:pPr>
    <w:rPr>
      <w:rFonts w:ascii="Times New Roman" w:hAnsi="Times New Roman" w:eastAsia="Times New Roman" w:cs="Times New Roman"/>
      <w:szCs w:val="24"/>
      <w:lang w:eastAsia="pt-BR"/>
    </w:rPr>
  </w:style>
  <w:style w:type="paragraph" w:styleId="Contedodatabela" w:customStyle="1">
    <w:name w:val="Conteúdo da tabela"/>
    <w:basedOn w:val="Normal"/>
    <w:uiPriority w:val="6"/>
    <w:qFormat/>
    <w:rsid w:val="0078598a"/>
    <w:pPr>
      <w:suppressLineNumbers/>
      <w:pBdr/>
      <w:suppressAutoHyphens w:val="true"/>
      <w:jc w:val="left"/>
    </w:pPr>
    <w:rPr>
      <w:rFonts w:ascii="Times New Roman" w:hAnsi="Times New Roman" w:eastAsia="Times New Roman" w:cs="Times New Roman"/>
      <w:color w:val="000000"/>
      <w:kern w:val="2"/>
      <w:szCs w:val="24"/>
      <w:shd w:fill="FFFFFF" w:val="clear"/>
      <w:lang w:eastAsia="zh-CN" w:bidi="hi-IN"/>
    </w:rPr>
  </w:style>
  <w:style w:type="paragraph" w:styleId="Contedodoquadro">
    <w:name w:val="Conteúdo do quadro"/>
    <w:basedOn w:val="Normal"/>
    <w:qFormat/>
    <w:pPr/>
    <w:rPr/>
  </w:style>
  <w:style w:type="numbering" w:styleId="NoList" w:default="1">
    <w:name w:val="No List"/>
    <w:uiPriority w:val="99"/>
    <w:semiHidden/>
    <w:unhideWhenUsed/>
    <w:qFormat/>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table" w:styleId="Tabelacomgrade">
    <w:name w:val="Table Grid"/>
    <w:basedOn w:val="Tabelanormal"/>
    <w:uiPriority w:val="39"/>
    <w:rsid w:val="00e31d62"/>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image" Target="media/image3.png"/><Relationship Id="rId6" Type="http://schemas.openxmlformats.org/officeDocument/2006/relationships/header" Target="header3.xml"/><Relationship Id="rId7" Type="http://schemas.openxmlformats.org/officeDocument/2006/relationships/header" Target="header4.xml"/><Relationship Id="rId8" Type="http://schemas.openxmlformats.org/officeDocument/2006/relationships/header" Target="header5.xml"/><Relationship Id="rId9" Type="http://schemas.openxmlformats.org/officeDocument/2006/relationships/image" Target="media/image4.png"/><Relationship Id="rId10" Type="http://schemas.openxmlformats.org/officeDocument/2006/relationships/image" Target="media/image5.png"/><Relationship Id="rId11" Type="http://schemas.openxmlformats.org/officeDocument/2006/relationships/image" Target="media/image6.png"/><Relationship Id="rId12" Type="http://schemas.openxmlformats.org/officeDocument/2006/relationships/image" Target="media/image7.png"/><Relationship Id="rId13" Type="http://schemas.openxmlformats.org/officeDocument/2006/relationships/image" Target="media/image8.png"/><Relationship Id="rId14" Type="http://schemas.openxmlformats.org/officeDocument/2006/relationships/image" Target="media/image9.png"/><Relationship Id="rId15" Type="http://schemas.openxmlformats.org/officeDocument/2006/relationships/image" Target="media/image10.png"/><Relationship Id="rId16" Type="http://schemas.openxmlformats.org/officeDocument/2006/relationships/image" Target="media/image11.png"/><Relationship Id="rId17" Type="http://schemas.openxmlformats.org/officeDocument/2006/relationships/image" Target="media/image12.wmf"/><Relationship Id="rId18" Type="http://schemas.openxmlformats.org/officeDocument/2006/relationships/image" Target="media/image13.wmf"/><Relationship Id="rId19" Type="http://schemas.openxmlformats.org/officeDocument/2006/relationships/image" Target="media/image14.wmf"/><Relationship Id="rId20" Type="http://schemas.openxmlformats.org/officeDocument/2006/relationships/image" Target="media/image15.png"/><Relationship Id="rId21" Type="http://schemas.openxmlformats.org/officeDocument/2006/relationships/image" Target="media/image16.png"/><Relationship Id="rId22" Type="http://schemas.openxmlformats.org/officeDocument/2006/relationships/image" Target="media/image17.png"/><Relationship Id="rId23" Type="http://schemas.openxmlformats.org/officeDocument/2006/relationships/image" Target="media/image18.png"/><Relationship Id="rId24" Type="http://schemas.openxmlformats.org/officeDocument/2006/relationships/image" Target="media/image19.png"/><Relationship Id="rId25" Type="http://schemas.openxmlformats.org/officeDocument/2006/relationships/image" Target="media/image20.png"/><Relationship Id="rId26" Type="http://schemas.openxmlformats.org/officeDocument/2006/relationships/image" Target="media/image21.png"/><Relationship Id="rId27" Type="http://schemas.openxmlformats.org/officeDocument/2006/relationships/image" Target="media/image22.png"/><Relationship Id="rId28" Type="http://schemas.openxmlformats.org/officeDocument/2006/relationships/image" Target="media/image23.png"/><Relationship Id="rId29" Type="http://schemas.openxmlformats.org/officeDocument/2006/relationships/image" Target="media/image24.png"/><Relationship Id="rId30" Type="http://schemas.openxmlformats.org/officeDocument/2006/relationships/image" Target="media/image25.png"/><Relationship Id="rId31" Type="http://schemas.openxmlformats.org/officeDocument/2006/relationships/image" Target="media/image26.png"/><Relationship Id="rId32" Type="http://schemas.openxmlformats.org/officeDocument/2006/relationships/image" Target="media/image27.png"/><Relationship Id="rId33" Type="http://schemas.openxmlformats.org/officeDocument/2006/relationships/image" Target="media/image28.png"/><Relationship Id="rId34" Type="http://schemas.openxmlformats.org/officeDocument/2006/relationships/image" Target="media/image29.png"/><Relationship Id="rId35" Type="http://schemas.openxmlformats.org/officeDocument/2006/relationships/image" Target="media/image30.png"/><Relationship Id="rId36" Type="http://schemas.openxmlformats.org/officeDocument/2006/relationships/image" Target="media/image31.png"/><Relationship Id="rId37" Type="http://schemas.openxmlformats.org/officeDocument/2006/relationships/image" Target="media/image32.png"/><Relationship Id="rId38" Type="http://schemas.openxmlformats.org/officeDocument/2006/relationships/image" Target="media/image33.png"/><Relationship Id="rId39" Type="http://schemas.openxmlformats.org/officeDocument/2006/relationships/image" Target="media/image34.png"/><Relationship Id="rId40" Type="http://schemas.openxmlformats.org/officeDocument/2006/relationships/image" Target="media/image35.png"/><Relationship Id="rId41" Type="http://schemas.openxmlformats.org/officeDocument/2006/relationships/image" Target="media/image36.png"/><Relationship Id="rId42" Type="http://schemas.openxmlformats.org/officeDocument/2006/relationships/image" Target="media/image37.png"/><Relationship Id="rId43" Type="http://schemas.openxmlformats.org/officeDocument/2006/relationships/image" Target="media/image38.png"/><Relationship Id="rId44" Type="http://schemas.openxmlformats.org/officeDocument/2006/relationships/image" Target="media/image39.png"/><Relationship Id="rId45" Type="http://schemas.openxmlformats.org/officeDocument/2006/relationships/image" Target="media/image40.png"/><Relationship Id="rId46" Type="http://schemas.openxmlformats.org/officeDocument/2006/relationships/image" Target="media/image41.png"/><Relationship Id="rId47" Type="http://schemas.openxmlformats.org/officeDocument/2006/relationships/image" Target="media/image42.png"/><Relationship Id="rId48" Type="http://schemas.openxmlformats.org/officeDocument/2006/relationships/image" Target="media/image43.png"/><Relationship Id="rId49" Type="http://schemas.openxmlformats.org/officeDocument/2006/relationships/image" Target="media/image44.png"/><Relationship Id="rId50" Type="http://schemas.openxmlformats.org/officeDocument/2006/relationships/image" Target="media/image45.png"/><Relationship Id="rId51" Type="http://schemas.openxmlformats.org/officeDocument/2006/relationships/image" Target="media/image46.png"/><Relationship Id="rId52" Type="http://schemas.openxmlformats.org/officeDocument/2006/relationships/image" Target="media/image47.png"/><Relationship Id="rId53" Type="http://schemas.openxmlformats.org/officeDocument/2006/relationships/image" Target="media/image48.png"/><Relationship Id="rId54" Type="http://schemas.openxmlformats.org/officeDocument/2006/relationships/image" Target="media/image49.png"/><Relationship Id="rId55" Type="http://schemas.openxmlformats.org/officeDocument/2006/relationships/image" Target="media/image50.png"/><Relationship Id="rId56" Type="http://schemas.openxmlformats.org/officeDocument/2006/relationships/image" Target="media/image51.png"/><Relationship Id="rId57" Type="http://schemas.openxmlformats.org/officeDocument/2006/relationships/image" Target="media/image52.png"/><Relationship Id="rId58" Type="http://schemas.openxmlformats.org/officeDocument/2006/relationships/image" Target="media/image53.png"/><Relationship Id="rId59" Type="http://schemas.openxmlformats.org/officeDocument/2006/relationships/image" Target="media/image54.png"/><Relationship Id="rId60" Type="http://schemas.openxmlformats.org/officeDocument/2006/relationships/image" Target="media/image55.png"/><Relationship Id="rId61" Type="http://schemas.openxmlformats.org/officeDocument/2006/relationships/image" Target="media/image56.png"/><Relationship Id="rId62" Type="http://schemas.openxmlformats.org/officeDocument/2006/relationships/image" Target="media/image57.png"/><Relationship Id="rId63" Type="http://schemas.openxmlformats.org/officeDocument/2006/relationships/image" Target="media/image58.png"/><Relationship Id="rId64" Type="http://schemas.openxmlformats.org/officeDocument/2006/relationships/image" Target="media/image59.png"/><Relationship Id="rId65" Type="http://schemas.openxmlformats.org/officeDocument/2006/relationships/image" Target="media/image60.png"/><Relationship Id="rId66" Type="http://schemas.openxmlformats.org/officeDocument/2006/relationships/image" Target="media/image61.png"/><Relationship Id="rId67" Type="http://schemas.openxmlformats.org/officeDocument/2006/relationships/image" Target="media/image62.png"/><Relationship Id="rId68" Type="http://schemas.openxmlformats.org/officeDocument/2006/relationships/image" Target="media/image63.png"/><Relationship Id="rId69" Type="http://schemas.openxmlformats.org/officeDocument/2006/relationships/image" Target="media/image64.png"/><Relationship Id="rId70" Type="http://schemas.openxmlformats.org/officeDocument/2006/relationships/image" Target="media/image65.png"/><Relationship Id="rId71" Type="http://schemas.openxmlformats.org/officeDocument/2006/relationships/image" Target="media/image66.png"/><Relationship Id="rId72" Type="http://schemas.openxmlformats.org/officeDocument/2006/relationships/image" Target="media/image67.png"/><Relationship Id="rId73" Type="http://schemas.openxmlformats.org/officeDocument/2006/relationships/image" Target="media/image68.png"/><Relationship Id="rId74" Type="http://schemas.openxmlformats.org/officeDocument/2006/relationships/image" Target="media/image69.png"/><Relationship Id="rId75" Type="http://schemas.openxmlformats.org/officeDocument/2006/relationships/image" Target="media/image70.png"/><Relationship Id="rId76" Type="http://schemas.openxmlformats.org/officeDocument/2006/relationships/image" Target="media/image71.png"/><Relationship Id="rId77" Type="http://schemas.openxmlformats.org/officeDocument/2006/relationships/image" Target="media/image72.png"/><Relationship Id="rId78" Type="http://schemas.openxmlformats.org/officeDocument/2006/relationships/image" Target="media/image73.png"/><Relationship Id="rId79" Type="http://schemas.openxmlformats.org/officeDocument/2006/relationships/image" Target="media/image74.png"/><Relationship Id="rId80" Type="http://schemas.openxmlformats.org/officeDocument/2006/relationships/image" Target="media/image75.png"/><Relationship Id="rId81" Type="http://schemas.openxmlformats.org/officeDocument/2006/relationships/image" Target="media/image76.png"/><Relationship Id="rId82" Type="http://schemas.openxmlformats.org/officeDocument/2006/relationships/image" Target="media/image77.png"/><Relationship Id="rId83" Type="http://schemas.openxmlformats.org/officeDocument/2006/relationships/image" Target="media/image78.png"/><Relationship Id="rId84" Type="http://schemas.openxmlformats.org/officeDocument/2006/relationships/image" Target="media/image79.png"/><Relationship Id="rId85" Type="http://schemas.openxmlformats.org/officeDocument/2006/relationships/image" Target="media/image80.png"/><Relationship Id="rId86" Type="http://schemas.openxmlformats.org/officeDocument/2006/relationships/image" Target="media/image81.png"/><Relationship Id="rId87" Type="http://schemas.openxmlformats.org/officeDocument/2006/relationships/image" Target="media/image82.png"/><Relationship Id="rId88" Type="http://schemas.openxmlformats.org/officeDocument/2006/relationships/image" Target="media/image83.png"/><Relationship Id="rId89" Type="http://schemas.openxmlformats.org/officeDocument/2006/relationships/image" Target="media/image84.png"/><Relationship Id="rId90" Type="http://schemas.openxmlformats.org/officeDocument/2006/relationships/image" Target="media/image85.png"/><Relationship Id="rId91" Type="http://schemas.openxmlformats.org/officeDocument/2006/relationships/image" Target="media/image86.png"/><Relationship Id="rId92" Type="http://schemas.openxmlformats.org/officeDocument/2006/relationships/image" Target="media/image87.png"/><Relationship Id="rId93" Type="http://schemas.openxmlformats.org/officeDocument/2006/relationships/image" Target="media/image88.png"/><Relationship Id="rId94" Type="http://schemas.openxmlformats.org/officeDocument/2006/relationships/image" Target="media/image89.png"/><Relationship Id="rId95" Type="http://schemas.openxmlformats.org/officeDocument/2006/relationships/image" Target="media/image90.png"/><Relationship Id="rId96" Type="http://schemas.openxmlformats.org/officeDocument/2006/relationships/image" Target="media/image91.png"/><Relationship Id="rId97" Type="http://schemas.openxmlformats.org/officeDocument/2006/relationships/image" Target="media/image92.png"/><Relationship Id="rId98" Type="http://schemas.openxmlformats.org/officeDocument/2006/relationships/image" Target="media/image93.png"/><Relationship Id="rId99" Type="http://schemas.openxmlformats.org/officeDocument/2006/relationships/image" Target="media/image94.png"/><Relationship Id="rId100" Type="http://schemas.openxmlformats.org/officeDocument/2006/relationships/image" Target="media/image95.png"/><Relationship Id="rId101" Type="http://schemas.openxmlformats.org/officeDocument/2006/relationships/image" Target="media/image96.png"/><Relationship Id="rId102" Type="http://schemas.openxmlformats.org/officeDocument/2006/relationships/image" Target="media/image97.png"/><Relationship Id="rId103" Type="http://schemas.openxmlformats.org/officeDocument/2006/relationships/image" Target="media/image98.png"/><Relationship Id="rId104" Type="http://schemas.openxmlformats.org/officeDocument/2006/relationships/image" Target="media/image99.png"/><Relationship Id="rId105" Type="http://schemas.openxmlformats.org/officeDocument/2006/relationships/image" Target="media/image100.png"/><Relationship Id="rId106" Type="http://schemas.openxmlformats.org/officeDocument/2006/relationships/image" Target="media/image101.png"/><Relationship Id="rId107" Type="http://schemas.openxmlformats.org/officeDocument/2006/relationships/image" Target="media/image102.png"/><Relationship Id="rId108" Type="http://schemas.openxmlformats.org/officeDocument/2006/relationships/image" Target="media/image103.png"/><Relationship Id="rId109" Type="http://schemas.openxmlformats.org/officeDocument/2006/relationships/image" Target="media/image104.png"/><Relationship Id="rId110" Type="http://schemas.openxmlformats.org/officeDocument/2006/relationships/image" Target="media/image105.png"/><Relationship Id="rId111" Type="http://schemas.openxmlformats.org/officeDocument/2006/relationships/image" Target="media/image106.png"/><Relationship Id="rId112" Type="http://schemas.openxmlformats.org/officeDocument/2006/relationships/image" Target="media/image107.png"/><Relationship Id="rId113" Type="http://schemas.openxmlformats.org/officeDocument/2006/relationships/image" Target="media/image108.png"/><Relationship Id="rId114" Type="http://schemas.openxmlformats.org/officeDocument/2006/relationships/image" Target="media/image109.png"/><Relationship Id="rId115" Type="http://schemas.openxmlformats.org/officeDocument/2006/relationships/image" Target="media/image110.png"/><Relationship Id="rId116" Type="http://schemas.openxmlformats.org/officeDocument/2006/relationships/image" Target="media/image111.png"/><Relationship Id="rId117" Type="http://schemas.openxmlformats.org/officeDocument/2006/relationships/hyperlink" Target="https://www.gov.br/trabalho-e-previdencia/pt-br/acesso-a-informacao/participacao-social/conselhos-e-orgaos-colegiados/ctpp/arquivos/normas-regulamentadoras/nr-12-atualizada-2022-1.pdf" TargetMode="External"/><Relationship Id="rId118" Type="http://schemas.openxmlformats.org/officeDocument/2006/relationships/hyperlink" Target="https://portalmapa.goiania.go.gov.br/mapafacil/" TargetMode="External"/><Relationship Id="rId119" Type="http://schemas.openxmlformats.org/officeDocument/2006/relationships/header" Target="header6.xml"/><Relationship Id="rId120" Type="http://schemas.openxmlformats.org/officeDocument/2006/relationships/numbering" Target="numbering.xml"/><Relationship Id="rId121" Type="http://schemas.openxmlformats.org/officeDocument/2006/relationships/fontTable" Target="fontTable.xml"/><Relationship Id="rId122" Type="http://schemas.openxmlformats.org/officeDocument/2006/relationships/settings" Target="settings.xml"/><Relationship Id="rId123" Type="http://schemas.openxmlformats.org/officeDocument/2006/relationships/theme" Target="theme/theme1.xml"/><Relationship Id="rId124" Type="http://schemas.openxmlformats.org/officeDocument/2006/relationships/customXml" Target="../customXml/item1.xml"/>
</Relationships>
</file>

<file path=word/_rels/header1.xml.rels><?xml version="1.0" encoding="UTF-8"?>
<Relationships xmlns="http://schemas.openxmlformats.org/package/2006/relationships"><Relationship Id="rId1" Type="http://schemas.openxmlformats.org/officeDocument/2006/relationships/image" Target="media/image2.jpeg"/>
</Relationships>
</file>

<file path=word/_rels/numbering.xml.rels><?xml version="1.0" encoding="UTF-8"?>
<Relationships xmlns="http://schemas.openxmlformats.org/package/2006/relationships"><Relationship Id="rId1" Type="http://schemas.openxmlformats.org/officeDocument/2006/relationships/image" Target="media/image112.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FAC3EB-A34C-4FA7-B834-3EF019A9EF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317</TotalTime>
  <Application>LibreOffice/6.4.0.3$Windows_X86_64 LibreOffice_project/b0a288ab3d2d4774cb44b62f04d5d28733ac6df8</Application>
  <Pages>72</Pages>
  <Words>20010</Words>
  <Characters>109383</Characters>
  <CharactersWithSpaces>129271</CharactersWithSpaces>
  <Paragraphs>1056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2023-12-13T15:44:00Z</dcterms:created>
  <dc:creator>matteus mesquita</dc:creator>
  <dc:description/>
  <dc:language>pt-BR</dc:language>
  <cp:lastModifiedBy>matteus mesquita</cp:lastModifiedBy>
  <cp:lastPrinted>2023-12-20T16:29:00Z</cp:lastPrinted>
  <dcterms:modified xsi:type="dcterms:W3CDTF">2023-12-20T21:38:00Z</dcterms:modified>
  <cp:revision>102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